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BE7ED0" w:rsidRDefault="007C18E7" w:rsidP="00A4051D">
      <w:pPr>
        <w:pStyle w:val="Cabealho"/>
        <w:spacing w:line="276" w:lineRule="auto"/>
        <w:jc w:val="center"/>
        <w:rPr>
          <w:rFonts w:ascii="Arial" w:hAnsi="Arial" w:cs="Arial"/>
          <w:sz w:val="20"/>
          <w:szCs w:val="20"/>
        </w:rPr>
      </w:pPr>
      <w:r w:rsidRPr="00BE7ED0">
        <w:rPr>
          <w:rFonts w:ascii="Arial" w:hAnsi="Arial" w:cs="Arial"/>
          <w:b/>
          <w:sz w:val="20"/>
          <w:szCs w:val="20"/>
        </w:rPr>
        <w:t>Boletim de Jurisprudência TCE/PR</w:t>
      </w:r>
      <w:r w:rsidRPr="00BE7ED0">
        <w:rPr>
          <w:rFonts w:ascii="Arial" w:hAnsi="Arial" w:cs="Arial"/>
          <w:sz w:val="20"/>
          <w:szCs w:val="20"/>
        </w:rPr>
        <w:t xml:space="preserve"> </w:t>
      </w:r>
    </w:p>
    <w:p w14:paraId="4EF0156F" w14:textId="77777777" w:rsidR="007C18E7" w:rsidRPr="00BE7ED0" w:rsidRDefault="007C18E7" w:rsidP="00A4051D">
      <w:pPr>
        <w:spacing w:after="0"/>
        <w:jc w:val="center"/>
        <w:rPr>
          <w:rFonts w:ascii="Arial" w:hAnsi="Arial" w:cs="Arial"/>
          <w:b/>
          <w:sz w:val="20"/>
          <w:szCs w:val="20"/>
        </w:rPr>
      </w:pPr>
    </w:p>
    <w:p w14:paraId="6B732960" w14:textId="3FD63585" w:rsidR="007C18E7" w:rsidRPr="00BE7ED0" w:rsidRDefault="007C18E7" w:rsidP="00A4051D">
      <w:pPr>
        <w:spacing w:after="0"/>
        <w:jc w:val="center"/>
        <w:rPr>
          <w:rFonts w:ascii="Arial" w:hAnsi="Arial" w:cs="Arial"/>
          <w:b/>
          <w:sz w:val="20"/>
          <w:szCs w:val="20"/>
        </w:rPr>
      </w:pPr>
      <w:r w:rsidRPr="00BE7ED0">
        <w:rPr>
          <w:rFonts w:ascii="Arial" w:hAnsi="Arial" w:cs="Arial"/>
          <w:b/>
          <w:sz w:val="20"/>
          <w:szCs w:val="20"/>
        </w:rPr>
        <w:t xml:space="preserve">Número </w:t>
      </w:r>
      <w:r w:rsidR="00E66EA0">
        <w:rPr>
          <w:rFonts w:ascii="Arial" w:hAnsi="Arial" w:cs="Arial"/>
          <w:b/>
          <w:sz w:val="20"/>
          <w:szCs w:val="20"/>
        </w:rPr>
        <w:t>6</w:t>
      </w:r>
      <w:r w:rsidR="0003502C">
        <w:rPr>
          <w:rFonts w:ascii="Arial" w:hAnsi="Arial" w:cs="Arial"/>
          <w:b/>
          <w:sz w:val="20"/>
          <w:szCs w:val="20"/>
        </w:rPr>
        <w:t>1</w:t>
      </w:r>
    </w:p>
    <w:p w14:paraId="3C0730DA" w14:textId="77777777" w:rsidR="007C18E7" w:rsidRPr="00BE7ED0" w:rsidRDefault="007C18E7" w:rsidP="00A4051D">
      <w:pPr>
        <w:spacing w:after="0"/>
        <w:jc w:val="center"/>
        <w:rPr>
          <w:rFonts w:ascii="Arial" w:hAnsi="Arial" w:cs="Arial"/>
          <w:b/>
          <w:sz w:val="20"/>
          <w:szCs w:val="20"/>
          <w:highlight w:val="yellow"/>
        </w:rPr>
      </w:pPr>
    </w:p>
    <w:p w14:paraId="7AE9E11A" w14:textId="61A2796C" w:rsidR="007C18E7" w:rsidRPr="00BE7ED0" w:rsidRDefault="007C18E7" w:rsidP="00A4051D">
      <w:pPr>
        <w:spacing w:after="0"/>
        <w:jc w:val="center"/>
        <w:rPr>
          <w:rFonts w:ascii="Arial" w:hAnsi="Arial" w:cs="Arial"/>
          <w:b/>
          <w:sz w:val="20"/>
          <w:szCs w:val="20"/>
        </w:rPr>
      </w:pPr>
      <w:r w:rsidRPr="00551B25">
        <w:rPr>
          <w:rFonts w:ascii="Arial" w:hAnsi="Arial" w:cs="Arial"/>
          <w:b/>
          <w:sz w:val="20"/>
          <w:szCs w:val="20"/>
        </w:rPr>
        <w:t xml:space="preserve">Sessões: </w:t>
      </w:r>
      <w:r w:rsidR="0003502C">
        <w:rPr>
          <w:rFonts w:ascii="Arial" w:hAnsi="Arial" w:cs="Arial"/>
          <w:b/>
          <w:sz w:val="20"/>
          <w:szCs w:val="20"/>
        </w:rPr>
        <w:t>24</w:t>
      </w:r>
      <w:r w:rsidRPr="00551B25">
        <w:rPr>
          <w:rFonts w:ascii="Arial" w:hAnsi="Arial" w:cs="Arial"/>
          <w:b/>
          <w:sz w:val="20"/>
          <w:szCs w:val="20"/>
        </w:rPr>
        <w:t>.0</w:t>
      </w:r>
      <w:r w:rsidR="00E66EA0">
        <w:rPr>
          <w:rFonts w:ascii="Arial" w:hAnsi="Arial" w:cs="Arial"/>
          <w:b/>
          <w:sz w:val="20"/>
          <w:szCs w:val="20"/>
        </w:rPr>
        <w:t>6</w:t>
      </w:r>
      <w:r w:rsidRPr="00551B25">
        <w:rPr>
          <w:rFonts w:ascii="Arial" w:hAnsi="Arial" w:cs="Arial"/>
          <w:b/>
          <w:sz w:val="20"/>
          <w:szCs w:val="20"/>
        </w:rPr>
        <w:t xml:space="preserve"> a </w:t>
      </w:r>
      <w:r w:rsidR="0003502C">
        <w:rPr>
          <w:rFonts w:ascii="Arial" w:hAnsi="Arial" w:cs="Arial"/>
          <w:b/>
          <w:sz w:val="20"/>
          <w:szCs w:val="20"/>
        </w:rPr>
        <w:t>03</w:t>
      </w:r>
      <w:r w:rsidRPr="00551B25">
        <w:rPr>
          <w:rFonts w:ascii="Arial" w:hAnsi="Arial" w:cs="Arial"/>
          <w:b/>
          <w:sz w:val="20"/>
          <w:szCs w:val="20"/>
        </w:rPr>
        <w:t>.0</w:t>
      </w:r>
      <w:r w:rsidR="0003502C">
        <w:rPr>
          <w:rFonts w:ascii="Arial" w:hAnsi="Arial" w:cs="Arial"/>
          <w:b/>
          <w:sz w:val="20"/>
          <w:szCs w:val="20"/>
        </w:rPr>
        <w:t>7</w:t>
      </w:r>
      <w:r w:rsidRPr="00551B25">
        <w:rPr>
          <w:rFonts w:ascii="Arial" w:hAnsi="Arial" w:cs="Arial"/>
          <w:b/>
          <w:sz w:val="20"/>
          <w:szCs w:val="20"/>
        </w:rPr>
        <w:t xml:space="preserve"> de 201</w:t>
      </w:r>
      <w:r w:rsidR="00731AB4" w:rsidRPr="00551B25">
        <w:rPr>
          <w:rFonts w:ascii="Arial" w:hAnsi="Arial" w:cs="Arial"/>
          <w:b/>
          <w:sz w:val="20"/>
          <w:szCs w:val="20"/>
        </w:rPr>
        <w:t>9</w:t>
      </w:r>
    </w:p>
    <w:p w14:paraId="796D8E57" w14:textId="77777777" w:rsidR="007C18E7" w:rsidRPr="00BE7ED0" w:rsidRDefault="007C18E7" w:rsidP="00A4051D">
      <w:pPr>
        <w:spacing w:after="0"/>
        <w:jc w:val="both"/>
        <w:rPr>
          <w:rFonts w:ascii="Arial" w:hAnsi="Arial" w:cs="Arial"/>
          <w:sz w:val="20"/>
          <w:szCs w:val="20"/>
        </w:rPr>
      </w:pPr>
    </w:p>
    <w:p w14:paraId="7AFA8F05" w14:textId="77777777" w:rsidR="007C18E7" w:rsidRPr="00BE7ED0" w:rsidRDefault="007C18E7" w:rsidP="00A4051D">
      <w:pPr>
        <w:spacing w:after="0"/>
        <w:jc w:val="both"/>
        <w:rPr>
          <w:rFonts w:ascii="Arial" w:hAnsi="Arial" w:cs="Arial"/>
          <w:sz w:val="20"/>
          <w:szCs w:val="20"/>
        </w:rPr>
      </w:pPr>
      <w:r w:rsidRPr="00BE7ED0">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BE7ED0">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BE7ED0">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BE7ED0">
        <w:rPr>
          <w:rFonts w:ascii="Arial" w:hAnsi="Arial" w:cs="Arial"/>
          <w:color w:val="212121"/>
          <w:sz w:val="20"/>
          <w:szCs w:val="20"/>
        </w:rPr>
        <w:t xml:space="preserve"> </w:t>
      </w:r>
      <w:r w:rsidRPr="00BE7ED0">
        <w:rPr>
          <w:rFonts w:ascii="Arial" w:hAnsi="Arial" w:cs="Arial"/>
          <w:sz w:val="20"/>
          <w:szCs w:val="20"/>
        </w:rPr>
        <w:t>As informações aqui apresentadas não são repositórios oficiais de jurisprudência.</w:t>
      </w:r>
    </w:p>
    <w:p w14:paraId="794DB6E9" w14:textId="77777777" w:rsidR="007C18E7" w:rsidRPr="00BE7ED0" w:rsidRDefault="007C18E7" w:rsidP="00A4051D">
      <w:pPr>
        <w:spacing w:after="0"/>
        <w:jc w:val="both"/>
        <w:rPr>
          <w:rFonts w:ascii="Arial" w:hAnsi="Arial" w:cs="Arial"/>
          <w:sz w:val="20"/>
          <w:szCs w:val="20"/>
        </w:rPr>
      </w:pPr>
    </w:p>
    <w:p w14:paraId="356F11D7" w14:textId="77777777" w:rsidR="007C18E7" w:rsidRPr="00BE7ED0" w:rsidRDefault="007C18E7" w:rsidP="00A4051D">
      <w:pPr>
        <w:spacing w:after="0"/>
        <w:jc w:val="both"/>
        <w:rPr>
          <w:rFonts w:ascii="Arial" w:hAnsi="Arial" w:cs="Arial"/>
          <w:sz w:val="20"/>
          <w:szCs w:val="20"/>
        </w:rPr>
      </w:pPr>
      <w:r w:rsidRPr="00BE7ED0">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BE7ED0" w:rsidRDefault="007C18E7" w:rsidP="00A4051D">
      <w:pPr>
        <w:shd w:val="pct10" w:color="auto" w:fill="auto"/>
        <w:spacing w:after="0"/>
        <w:jc w:val="center"/>
        <w:rPr>
          <w:rFonts w:ascii="Arial" w:hAnsi="Arial" w:cs="Arial"/>
          <w:b/>
          <w:sz w:val="20"/>
          <w:szCs w:val="20"/>
        </w:rPr>
      </w:pPr>
      <w:r w:rsidRPr="00BE7ED0">
        <w:rPr>
          <w:rFonts w:ascii="Arial" w:hAnsi="Arial" w:cs="Arial"/>
          <w:b/>
          <w:sz w:val="20"/>
          <w:szCs w:val="20"/>
        </w:rPr>
        <w:t>SUMÁRIO</w:t>
      </w:r>
    </w:p>
    <w:p w14:paraId="24B01F8F" w14:textId="3D8EEAEB" w:rsidR="009766BD" w:rsidRDefault="009766BD" w:rsidP="00A4051D">
      <w:pPr>
        <w:autoSpaceDE w:val="0"/>
        <w:autoSpaceDN w:val="0"/>
        <w:adjustRightInd w:val="0"/>
        <w:spacing w:after="0"/>
        <w:jc w:val="both"/>
        <w:rPr>
          <w:rFonts w:ascii="Arial" w:hAnsi="Arial" w:cs="Arial"/>
          <w:sz w:val="20"/>
          <w:szCs w:val="20"/>
        </w:rPr>
      </w:pPr>
    </w:p>
    <w:p w14:paraId="08EF73FD" w14:textId="77777777" w:rsidR="00A4051D" w:rsidRPr="00A4051D" w:rsidRDefault="00A4051D" w:rsidP="00A4051D">
      <w:pPr>
        <w:autoSpaceDE w:val="0"/>
        <w:autoSpaceDN w:val="0"/>
        <w:adjustRightInd w:val="0"/>
        <w:spacing w:after="0"/>
        <w:jc w:val="both"/>
        <w:rPr>
          <w:rFonts w:ascii="Arial" w:hAnsi="Arial" w:cs="Arial"/>
          <w:sz w:val="20"/>
          <w:szCs w:val="20"/>
        </w:rPr>
      </w:pPr>
      <w:r w:rsidRPr="00A4051D">
        <w:rPr>
          <w:rFonts w:ascii="Arial" w:hAnsi="Arial" w:cs="Arial"/>
          <w:sz w:val="20"/>
          <w:szCs w:val="20"/>
        </w:rPr>
        <w:t>1. Tomada de contas extraordinária. Aquisição de pneus e uso da frota pelo Ente público. Falhas de controle de frota e no recebimento de bens. Procedência parcial. Regularidade com ressalva das contas, com aplicação de multa ao gestor e emissão de determinação.</w:t>
      </w:r>
    </w:p>
    <w:p w14:paraId="77E3B279" w14:textId="77777777" w:rsidR="00A4051D" w:rsidRDefault="00A4051D" w:rsidP="00A4051D">
      <w:pPr>
        <w:autoSpaceDE w:val="0"/>
        <w:autoSpaceDN w:val="0"/>
        <w:adjustRightInd w:val="0"/>
        <w:spacing w:after="0"/>
        <w:jc w:val="both"/>
        <w:rPr>
          <w:rFonts w:ascii="Arial" w:hAnsi="Arial" w:cs="Arial"/>
          <w:sz w:val="20"/>
          <w:szCs w:val="20"/>
        </w:rPr>
      </w:pPr>
    </w:p>
    <w:p w14:paraId="65415673" w14:textId="14115482" w:rsidR="00A4051D" w:rsidRPr="00A4051D" w:rsidRDefault="00A4051D" w:rsidP="00A4051D">
      <w:pPr>
        <w:autoSpaceDE w:val="0"/>
        <w:autoSpaceDN w:val="0"/>
        <w:adjustRightInd w:val="0"/>
        <w:spacing w:after="0"/>
        <w:jc w:val="both"/>
        <w:rPr>
          <w:rFonts w:ascii="Arial" w:hAnsi="Arial" w:cs="Arial"/>
          <w:sz w:val="20"/>
          <w:szCs w:val="20"/>
        </w:rPr>
      </w:pPr>
      <w:r w:rsidRPr="00A4051D">
        <w:rPr>
          <w:rFonts w:ascii="Arial" w:hAnsi="Arial" w:cs="Arial"/>
          <w:sz w:val="20"/>
          <w:szCs w:val="20"/>
        </w:rPr>
        <w:t>2. Admissão de pessoal. Ausência de comprovação de envio de no mínimo 03 convites para a realização do processo de licitação na modalidade convite (art. 22, III, § 3º da Lei nº 8.666/93). Indícios de inidoneidade da empresa realizadora do certame em razão de denúncias na imprensa. Expedição de recomendação. Aplicação de multa.</w:t>
      </w:r>
    </w:p>
    <w:p w14:paraId="2003829B" w14:textId="77777777" w:rsidR="00A4051D" w:rsidRDefault="00A4051D" w:rsidP="00A4051D">
      <w:pPr>
        <w:autoSpaceDE w:val="0"/>
        <w:autoSpaceDN w:val="0"/>
        <w:adjustRightInd w:val="0"/>
        <w:spacing w:after="0"/>
        <w:jc w:val="both"/>
        <w:rPr>
          <w:rFonts w:ascii="Arial" w:hAnsi="Arial" w:cs="Arial"/>
          <w:sz w:val="20"/>
          <w:szCs w:val="20"/>
        </w:rPr>
      </w:pPr>
    </w:p>
    <w:p w14:paraId="169E53B2" w14:textId="7542D573" w:rsidR="00A4051D" w:rsidRPr="00A4051D" w:rsidRDefault="00A4051D" w:rsidP="00A4051D">
      <w:pPr>
        <w:autoSpaceDE w:val="0"/>
        <w:autoSpaceDN w:val="0"/>
        <w:adjustRightInd w:val="0"/>
        <w:spacing w:after="0"/>
        <w:jc w:val="both"/>
        <w:rPr>
          <w:rFonts w:ascii="Arial" w:hAnsi="Arial" w:cs="Arial"/>
          <w:sz w:val="20"/>
          <w:szCs w:val="20"/>
        </w:rPr>
      </w:pPr>
      <w:r w:rsidRPr="00A4051D">
        <w:rPr>
          <w:rFonts w:ascii="Arial" w:hAnsi="Arial" w:cs="Arial"/>
          <w:sz w:val="20"/>
          <w:szCs w:val="20"/>
        </w:rPr>
        <w:t>3. Representação da Lei nº 8.666/1993. A previsão de correção monetária é obrigatória nos contratos administrativos. É indevida a exigência de número mínimo de atestados, exceto quando a complexidade do objeto assim exigir, desde que devidamente justificado.</w:t>
      </w:r>
    </w:p>
    <w:p w14:paraId="0906634F" w14:textId="77777777" w:rsidR="00A4051D" w:rsidRDefault="00A4051D" w:rsidP="00A4051D">
      <w:pPr>
        <w:autoSpaceDE w:val="0"/>
        <w:autoSpaceDN w:val="0"/>
        <w:adjustRightInd w:val="0"/>
        <w:spacing w:after="0"/>
        <w:jc w:val="both"/>
        <w:rPr>
          <w:rFonts w:ascii="Arial" w:hAnsi="Arial" w:cs="Arial"/>
          <w:sz w:val="20"/>
          <w:szCs w:val="20"/>
        </w:rPr>
      </w:pPr>
    </w:p>
    <w:p w14:paraId="52FD85F1" w14:textId="6C13B132" w:rsidR="00A4051D" w:rsidRPr="00A4051D" w:rsidRDefault="00A4051D" w:rsidP="00A4051D">
      <w:pPr>
        <w:autoSpaceDE w:val="0"/>
        <w:autoSpaceDN w:val="0"/>
        <w:adjustRightInd w:val="0"/>
        <w:spacing w:after="0"/>
        <w:jc w:val="both"/>
        <w:rPr>
          <w:rFonts w:ascii="Arial" w:hAnsi="Arial" w:cs="Arial"/>
          <w:sz w:val="20"/>
          <w:szCs w:val="20"/>
        </w:rPr>
      </w:pPr>
      <w:r w:rsidRPr="00A4051D">
        <w:rPr>
          <w:rFonts w:ascii="Arial" w:hAnsi="Arial" w:cs="Arial"/>
          <w:sz w:val="20"/>
          <w:szCs w:val="20"/>
        </w:rPr>
        <w:t xml:space="preserve">4. Representação da Lei nº 8.666/93. Município. Concorrência. Alegação de que a regra da exclusividade da participação de Microempresas e Empresas de Pequeno Porte do art. 48, I, da LC nº 123/2006 deve ser analisada com base no valor global da licitação e não para cada item ou lote. Matéria controvertida e sob discussão no Incidente de Prejulgado n° 465761/17. Não caracterização de ilegalidade. </w:t>
      </w:r>
    </w:p>
    <w:p w14:paraId="4274A2EF" w14:textId="77777777" w:rsidR="00A4051D" w:rsidRDefault="00A4051D" w:rsidP="00A4051D">
      <w:pPr>
        <w:autoSpaceDE w:val="0"/>
        <w:autoSpaceDN w:val="0"/>
        <w:adjustRightInd w:val="0"/>
        <w:spacing w:after="0"/>
        <w:jc w:val="both"/>
        <w:rPr>
          <w:rFonts w:ascii="Arial" w:hAnsi="Arial" w:cs="Arial"/>
          <w:sz w:val="20"/>
          <w:szCs w:val="20"/>
        </w:rPr>
      </w:pPr>
    </w:p>
    <w:p w14:paraId="630843D1" w14:textId="551C8705" w:rsidR="00A4051D" w:rsidRPr="00A4051D" w:rsidRDefault="00A4051D" w:rsidP="00A4051D">
      <w:pPr>
        <w:autoSpaceDE w:val="0"/>
        <w:autoSpaceDN w:val="0"/>
        <w:adjustRightInd w:val="0"/>
        <w:spacing w:after="0"/>
        <w:jc w:val="both"/>
        <w:rPr>
          <w:rFonts w:ascii="Arial" w:hAnsi="Arial" w:cs="Arial"/>
          <w:sz w:val="20"/>
          <w:szCs w:val="20"/>
        </w:rPr>
      </w:pPr>
      <w:r w:rsidRPr="00A4051D">
        <w:rPr>
          <w:rFonts w:ascii="Arial" w:hAnsi="Arial" w:cs="Arial"/>
          <w:sz w:val="20"/>
          <w:szCs w:val="20"/>
        </w:rPr>
        <w:t xml:space="preserve">5. Embargos de Declaração. Consulta. Acórdão nº 1.393/19/TP. Banco de Preços em Saúde. Omissão Conhecimento e provimento. </w:t>
      </w:r>
    </w:p>
    <w:p w14:paraId="59FE594B" w14:textId="77777777" w:rsidR="00A4051D" w:rsidRDefault="00A4051D" w:rsidP="00A4051D">
      <w:pPr>
        <w:autoSpaceDE w:val="0"/>
        <w:autoSpaceDN w:val="0"/>
        <w:adjustRightInd w:val="0"/>
        <w:spacing w:after="0"/>
        <w:jc w:val="both"/>
        <w:rPr>
          <w:rFonts w:ascii="Arial" w:hAnsi="Arial" w:cs="Arial"/>
          <w:sz w:val="20"/>
          <w:szCs w:val="20"/>
        </w:rPr>
      </w:pPr>
    </w:p>
    <w:p w14:paraId="4F1E9DE3" w14:textId="0F9B75AE" w:rsidR="00A4051D" w:rsidRPr="00A4051D" w:rsidRDefault="00A4051D" w:rsidP="00A4051D">
      <w:pPr>
        <w:autoSpaceDE w:val="0"/>
        <w:autoSpaceDN w:val="0"/>
        <w:adjustRightInd w:val="0"/>
        <w:spacing w:after="0"/>
        <w:jc w:val="both"/>
        <w:rPr>
          <w:rFonts w:ascii="Arial" w:hAnsi="Arial" w:cs="Arial"/>
          <w:sz w:val="20"/>
          <w:szCs w:val="20"/>
        </w:rPr>
      </w:pPr>
      <w:r w:rsidRPr="00A4051D">
        <w:rPr>
          <w:rFonts w:ascii="Arial" w:hAnsi="Arial" w:cs="Arial"/>
          <w:sz w:val="20"/>
          <w:szCs w:val="20"/>
        </w:rPr>
        <w:t xml:space="preserve">6. Representação. Supostas irregularidades na contratação de médicos plantonistas para a prestação de serviços de saúde no âmbito municipal. Alegação de terceirização irregular do serviço público de saúde. Contratação de empresas, por meio de Credenciamento, em cujo </w:t>
      </w:r>
      <w:r w:rsidRPr="00A4051D">
        <w:rPr>
          <w:rFonts w:ascii="Arial" w:hAnsi="Arial" w:cs="Arial"/>
          <w:sz w:val="20"/>
          <w:szCs w:val="20"/>
        </w:rPr>
        <w:lastRenderedPageBreak/>
        <w:t>quadro societário figuram servidores do Município. Suposto excesso de carga horária de trabalho dos médicos contratados. Descumprimento parcial da Lei de Transparência. Sobreposição de vínculos contratuais com empresas pertencentes aos mesmos sócios. Pela parcial procedência, afastando-se a aplicação de multa, com expedição de recomendações.</w:t>
      </w:r>
    </w:p>
    <w:p w14:paraId="605AFA5E" w14:textId="77777777" w:rsidR="00A4051D" w:rsidRDefault="00A4051D" w:rsidP="00A4051D">
      <w:pPr>
        <w:autoSpaceDE w:val="0"/>
        <w:autoSpaceDN w:val="0"/>
        <w:adjustRightInd w:val="0"/>
        <w:spacing w:after="0"/>
        <w:jc w:val="both"/>
        <w:rPr>
          <w:rFonts w:ascii="Arial" w:hAnsi="Arial" w:cs="Arial"/>
          <w:sz w:val="20"/>
          <w:szCs w:val="20"/>
        </w:rPr>
      </w:pPr>
    </w:p>
    <w:p w14:paraId="649BFC0F" w14:textId="0DB47E39" w:rsidR="00A4051D" w:rsidRPr="00A4051D" w:rsidRDefault="00A4051D" w:rsidP="00A4051D">
      <w:pPr>
        <w:autoSpaceDE w:val="0"/>
        <w:autoSpaceDN w:val="0"/>
        <w:adjustRightInd w:val="0"/>
        <w:spacing w:after="0"/>
        <w:jc w:val="both"/>
        <w:rPr>
          <w:rFonts w:ascii="Arial" w:hAnsi="Arial" w:cs="Arial"/>
          <w:sz w:val="20"/>
          <w:szCs w:val="20"/>
        </w:rPr>
      </w:pPr>
      <w:r w:rsidRPr="00A4051D">
        <w:rPr>
          <w:rFonts w:ascii="Arial" w:hAnsi="Arial" w:cs="Arial"/>
          <w:sz w:val="20"/>
          <w:szCs w:val="20"/>
        </w:rPr>
        <w:t xml:space="preserve">7. Representação da Lei nº 8.666/1993. Pregão Presencial. Contratação de equipe de apoio. Legalidade do funcionamento de empresas de segurança privada que não utilizam arma de fogo no exercício da atividade de vigilância comercial ou residencial, independentemente de autorização da Polícia Federal. Ausência de critério de correção monetária. Procedência parcial com aplicação de multa. </w:t>
      </w:r>
    </w:p>
    <w:p w14:paraId="4B6A5919" w14:textId="77777777" w:rsidR="00A4051D" w:rsidRDefault="00A4051D" w:rsidP="00A4051D">
      <w:pPr>
        <w:autoSpaceDE w:val="0"/>
        <w:autoSpaceDN w:val="0"/>
        <w:adjustRightInd w:val="0"/>
        <w:spacing w:after="0"/>
        <w:jc w:val="both"/>
        <w:rPr>
          <w:rFonts w:ascii="Arial" w:hAnsi="Arial" w:cs="Arial"/>
          <w:sz w:val="20"/>
          <w:szCs w:val="20"/>
        </w:rPr>
      </w:pPr>
    </w:p>
    <w:p w14:paraId="4F21A92F" w14:textId="1D43C1B1" w:rsidR="00A4051D" w:rsidRPr="00A4051D" w:rsidRDefault="00A4051D" w:rsidP="00A4051D">
      <w:pPr>
        <w:autoSpaceDE w:val="0"/>
        <w:autoSpaceDN w:val="0"/>
        <w:adjustRightInd w:val="0"/>
        <w:spacing w:after="0"/>
        <w:jc w:val="both"/>
        <w:rPr>
          <w:rFonts w:ascii="Arial" w:hAnsi="Arial" w:cs="Arial"/>
          <w:sz w:val="20"/>
          <w:szCs w:val="20"/>
        </w:rPr>
      </w:pPr>
      <w:r w:rsidRPr="00A4051D">
        <w:rPr>
          <w:rFonts w:ascii="Arial" w:hAnsi="Arial" w:cs="Arial"/>
          <w:sz w:val="20"/>
          <w:szCs w:val="20"/>
        </w:rPr>
        <w:t>8. Consulta. Indagação a respeito da possibilidade de fixação de verba remuneratória a servidores da Câmara Municipal, mediante simples remissão à lei de iniciativa do Poder Executivo. Inviabilidade jurídica. Manifestações uniformes. Necessidade de lei específica, nos termos da Constituição Federal.</w:t>
      </w:r>
    </w:p>
    <w:p w14:paraId="0A636CBC" w14:textId="77777777" w:rsidR="00A4051D" w:rsidRDefault="00A4051D" w:rsidP="00A4051D">
      <w:pPr>
        <w:autoSpaceDE w:val="0"/>
        <w:autoSpaceDN w:val="0"/>
        <w:adjustRightInd w:val="0"/>
        <w:spacing w:after="0"/>
        <w:jc w:val="both"/>
        <w:rPr>
          <w:rFonts w:ascii="Arial" w:hAnsi="Arial" w:cs="Arial"/>
          <w:sz w:val="20"/>
          <w:szCs w:val="20"/>
        </w:rPr>
      </w:pPr>
    </w:p>
    <w:p w14:paraId="596452D4" w14:textId="49E8FDF5" w:rsidR="00A4051D" w:rsidRPr="00A4051D" w:rsidRDefault="00A4051D" w:rsidP="00A4051D">
      <w:pPr>
        <w:autoSpaceDE w:val="0"/>
        <w:autoSpaceDN w:val="0"/>
        <w:adjustRightInd w:val="0"/>
        <w:spacing w:after="0"/>
        <w:jc w:val="both"/>
        <w:rPr>
          <w:rFonts w:ascii="Arial" w:hAnsi="Arial" w:cs="Arial"/>
          <w:sz w:val="20"/>
          <w:szCs w:val="20"/>
        </w:rPr>
      </w:pPr>
      <w:r w:rsidRPr="00A4051D">
        <w:rPr>
          <w:rFonts w:ascii="Arial" w:hAnsi="Arial" w:cs="Arial"/>
          <w:sz w:val="20"/>
          <w:szCs w:val="20"/>
        </w:rPr>
        <w:t>9. Denúncia. Decreto Municipal regulamentando banco de horas. Falta de previsão legal. Violação ao princípio da legalidade. Pela procedência com aplicação de multa administrativa e determinação.</w:t>
      </w:r>
    </w:p>
    <w:p w14:paraId="36CCC02D" w14:textId="77777777" w:rsidR="00C831A3" w:rsidRPr="00BE7ED0" w:rsidRDefault="00C831A3" w:rsidP="00A4051D">
      <w:pPr>
        <w:autoSpaceDE w:val="0"/>
        <w:autoSpaceDN w:val="0"/>
        <w:adjustRightInd w:val="0"/>
        <w:spacing w:after="0"/>
        <w:jc w:val="both"/>
        <w:rPr>
          <w:rFonts w:ascii="Arial" w:hAnsi="Arial" w:cs="Arial"/>
          <w:sz w:val="20"/>
          <w:szCs w:val="20"/>
        </w:rPr>
      </w:pPr>
    </w:p>
    <w:p w14:paraId="0BE91B35" w14:textId="77777777" w:rsidR="007C18E7" w:rsidRPr="00BE7ED0" w:rsidRDefault="007C18E7" w:rsidP="00A4051D">
      <w:pPr>
        <w:shd w:val="pct10" w:color="auto" w:fill="auto"/>
        <w:spacing w:after="0"/>
        <w:jc w:val="center"/>
        <w:rPr>
          <w:rFonts w:ascii="Arial" w:hAnsi="Arial" w:cs="Arial"/>
          <w:b/>
          <w:sz w:val="20"/>
          <w:szCs w:val="20"/>
        </w:rPr>
      </w:pPr>
      <w:r w:rsidRPr="00BE7ED0">
        <w:rPr>
          <w:rFonts w:ascii="Arial" w:hAnsi="Arial" w:cs="Arial"/>
          <w:b/>
          <w:sz w:val="20"/>
          <w:szCs w:val="20"/>
        </w:rPr>
        <w:t xml:space="preserve">PRIMEIRA CÂMARA </w:t>
      </w:r>
    </w:p>
    <w:p w14:paraId="4DFEEB83" w14:textId="5695F94B" w:rsidR="008F627B" w:rsidRDefault="008F627B" w:rsidP="00A4051D">
      <w:pPr>
        <w:autoSpaceDE w:val="0"/>
        <w:autoSpaceDN w:val="0"/>
        <w:adjustRightInd w:val="0"/>
        <w:spacing w:after="0"/>
        <w:jc w:val="both"/>
        <w:rPr>
          <w:rFonts w:ascii="Arial" w:hAnsi="Arial" w:cs="Arial"/>
          <w:b/>
          <w:sz w:val="20"/>
          <w:szCs w:val="20"/>
        </w:rPr>
      </w:pPr>
    </w:p>
    <w:p w14:paraId="36A0062B" w14:textId="24372883" w:rsidR="00931206" w:rsidRPr="00931206" w:rsidRDefault="00931206" w:rsidP="00A4051D">
      <w:pPr>
        <w:autoSpaceDE w:val="0"/>
        <w:autoSpaceDN w:val="0"/>
        <w:adjustRightInd w:val="0"/>
        <w:spacing w:after="0"/>
        <w:jc w:val="both"/>
        <w:rPr>
          <w:rFonts w:ascii="Arial" w:hAnsi="Arial" w:cs="Arial"/>
          <w:b/>
          <w:sz w:val="20"/>
          <w:szCs w:val="20"/>
        </w:rPr>
      </w:pPr>
      <w:r w:rsidRPr="00931206">
        <w:rPr>
          <w:rFonts w:ascii="Arial" w:hAnsi="Arial" w:cs="Arial"/>
          <w:b/>
          <w:sz w:val="20"/>
          <w:szCs w:val="20"/>
        </w:rPr>
        <w:t>1. Tomada de contas extraordinária. Aquisição de pneus e uso da frota pelo Ente público. Falhas de controle de frota e no recebimento de bens. Procedência parcial. Regularidade com ressalva das contas, com aplicação de multa ao gestor e emissão de determinação.</w:t>
      </w:r>
    </w:p>
    <w:p w14:paraId="4E55CC8F" w14:textId="77777777" w:rsidR="00931206" w:rsidRPr="00931206" w:rsidRDefault="00931206" w:rsidP="00A4051D">
      <w:pPr>
        <w:autoSpaceDE w:val="0"/>
        <w:autoSpaceDN w:val="0"/>
        <w:adjustRightInd w:val="0"/>
        <w:spacing w:after="0"/>
        <w:jc w:val="both"/>
        <w:rPr>
          <w:rFonts w:ascii="Arial" w:hAnsi="Arial" w:cs="Arial"/>
          <w:sz w:val="20"/>
          <w:szCs w:val="20"/>
        </w:rPr>
      </w:pPr>
    </w:p>
    <w:p w14:paraId="53DD160A" w14:textId="77777777" w:rsidR="00931206" w:rsidRPr="00931206" w:rsidRDefault="00931206" w:rsidP="00A4051D">
      <w:pPr>
        <w:autoSpaceDE w:val="0"/>
        <w:autoSpaceDN w:val="0"/>
        <w:adjustRightInd w:val="0"/>
        <w:spacing w:after="0"/>
        <w:jc w:val="both"/>
        <w:rPr>
          <w:rFonts w:ascii="Arial" w:hAnsi="Arial" w:cs="Arial"/>
          <w:sz w:val="20"/>
          <w:szCs w:val="20"/>
        </w:rPr>
      </w:pPr>
      <w:r w:rsidRPr="00931206">
        <w:rPr>
          <w:rFonts w:ascii="Arial" w:hAnsi="Arial" w:cs="Arial"/>
          <w:sz w:val="20"/>
          <w:szCs w:val="20"/>
        </w:rPr>
        <w:t xml:space="preserve">Os dados contidos nos autos embora não permitam concluir que inexistiu qualquer controle de frota no período apurado, evidenciam falhas nesse controle, especialmente quanto aos veículos com problemas de </w:t>
      </w:r>
      <w:proofErr w:type="spellStart"/>
      <w:r w:rsidRPr="00931206">
        <w:rPr>
          <w:rFonts w:ascii="Arial" w:hAnsi="Arial" w:cs="Arial"/>
          <w:sz w:val="20"/>
          <w:szCs w:val="20"/>
        </w:rPr>
        <w:t>hodômetro</w:t>
      </w:r>
      <w:proofErr w:type="spellEnd"/>
      <w:r w:rsidRPr="00931206">
        <w:rPr>
          <w:rFonts w:ascii="Arial" w:hAnsi="Arial" w:cs="Arial"/>
          <w:sz w:val="20"/>
          <w:szCs w:val="20"/>
        </w:rPr>
        <w:t xml:space="preserve">, para os quais não foi adotada forma alternativa de controle. </w:t>
      </w:r>
    </w:p>
    <w:p w14:paraId="0BA4B70A" w14:textId="77777777" w:rsidR="00931206" w:rsidRPr="00931206" w:rsidRDefault="00931206" w:rsidP="00A4051D">
      <w:pPr>
        <w:autoSpaceDE w:val="0"/>
        <w:autoSpaceDN w:val="0"/>
        <w:adjustRightInd w:val="0"/>
        <w:spacing w:after="0"/>
        <w:jc w:val="both"/>
        <w:rPr>
          <w:rFonts w:ascii="Arial" w:hAnsi="Arial" w:cs="Arial"/>
          <w:sz w:val="20"/>
          <w:szCs w:val="20"/>
        </w:rPr>
      </w:pPr>
    </w:p>
    <w:p w14:paraId="785CEF02" w14:textId="2CE16397" w:rsidR="00931206" w:rsidRPr="00931206" w:rsidRDefault="00931206" w:rsidP="00A4051D">
      <w:pPr>
        <w:autoSpaceDE w:val="0"/>
        <w:autoSpaceDN w:val="0"/>
        <w:adjustRightInd w:val="0"/>
        <w:spacing w:after="0"/>
        <w:jc w:val="both"/>
        <w:rPr>
          <w:rFonts w:ascii="Arial" w:hAnsi="Arial" w:cs="Arial"/>
          <w:sz w:val="20"/>
          <w:szCs w:val="20"/>
        </w:rPr>
      </w:pPr>
      <w:r w:rsidRPr="00931206">
        <w:rPr>
          <w:rFonts w:ascii="Arial" w:hAnsi="Arial" w:cs="Arial"/>
          <w:sz w:val="20"/>
          <w:szCs w:val="20"/>
        </w:rPr>
        <w:t xml:space="preserve">Também restou não esclarecida pelos interessados a metodologia de recebimento dos bens destinados à frota municipal, em relação ao que a peça inicial destacou a “ausência de comissão de recebimento de materiais” e ausência de comprovação de “qual agente público certificou o recebimento dos bens entregues”. Dessa feita, as falhas no controle de frota referidas pela defesa, e também as falhas no recebimento de bens pela municipalidade, prejudicam a transparência na execução da despesa pública, e devem ser objeto de ressalva das contas em exame. </w:t>
      </w:r>
    </w:p>
    <w:p w14:paraId="5DB67118" w14:textId="77777777" w:rsidR="00931206" w:rsidRPr="00931206" w:rsidRDefault="00931206" w:rsidP="00A4051D">
      <w:pPr>
        <w:autoSpaceDE w:val="0"/>
        <w:autoSpaceDN w:val="0"/>
        <w:adjustRightInd w:val="0"/>
        <w:spacing w:after="0"/>
        <w:jc w:val="both"/>
        <w:rPr>
          <w:rFonts w:ascii="Arial" w:hAnsi="Arial" w:cs="Arial"/>
          <w:sz w:val="20"/>
          <w:szCs w:val="20"/>
        </w:rPr>
      </w:pPr>
    </w:p>
    <w:p w14:paraId="3F6CE8F8" w14:textId="357AD871" w:rsidR="00782C9C" w:rsidRPr="00931206" w:rsidRDefault="00931206" w:rsidP="00A4051D">
      <w:pPr>
        <w:autoSpaceDE w:val="0"/>
        <w:autoSpaceDN w:val="0"/>
        <w:adjustRightInd w:val="0"/>
        <w:spacing w:after="0"/>
        <w:jc w:val="both"/>
        <w:rPr>
          <w:rFonts w:ascii="Arial" w:hAnsi="Arial" w:cs="Arial"/>
          <w:sz w:val="20"/>
          <w:szCs w:val="20"/>
        </w:rPr>
      </w:pPr>
      <w:r w:rsidRPr="00931206">
        <w:rPr>
          <w:rFonts w:ascii="Arial" w:hAnsi="Arial" w:cs="Arial"/>
          <w:sz w:val="20"/>
          <w:szCs w:val="20"/>
        </w:rPr>
        <w:t xml:space="preserve">O fato deve ser causa de emissão de determinação ao gestor municipal e ao Controlador Interno, da adoção imediata de medidas de controle de frota, tanto quanto às quilometragens percorridas, rotas, horários, utilização de combustível, de peças, quais os motoristas responsáveis, etc., como </w:t>
      </w:r>
      <w:r w:rsidRPr="00931206">
        <w:rPr>
          <w:rFonts w:ascii="Arial" w:hAnsi="Arial" w:cs="Arial"/>
          <w:sz w:val="20"/>
          <w:szCs w:val="20"/>
        </w:rPr>
        <w:lastRenderedPageBreak/>
        <w:t>também de providências de controle do recebimento e destinação dos bens, nos termos do art. 73, II, da Lei 8.666/934 .</w:t>
      </w:r>
    </w:p>
    <w:p w14:paraId="44CE3487" w14:textId="35C1F1D7" w:rsidR="00931206" w:rsidRPr="00931206" w:rsidRDefault="00931206" w:rsidP="00A4051D">
      <w:pPr>
        <w:spacing w:after="0"/>
        <w:jc w:val="both"/>
        <w:rPr>
          <w:rFonts w:ascii="Arial" w:hAnsi="Arial" w:cs="Arial"/>
          <w:color w:val="212121"/>
          <w:sz w:val="20"/>
          <w:szCs w:val="20"/>
        </w:rPr>
      </w:pPr>
    </w:p>
    <w:p w14:paraId="5CA2EE98" w14:textId="1FB146FD" w:rsidR="00931206" w:rsidRPr="00931206" w:rsidRDefault="00931206" w:rsidP="00A4051D">
      <w:pPr>
        <w:spacing w:after="0"/>
        <w:jc w:val="both"/>
        <w:rPr>
          <w:rFonts w:ascii="Arial" w:hAnsi="Arial" w:cs="Arial"/>
          <w:color w:val="212121"/>
          <w:sz w:val="20"/>
          <w:szCs w:val="20"/>
        </w:rPr>
      </w:pPr>
      <w:r w:rsidRPr="00931206">
        <w:rPr>
          <w:rFonts w:ascii="Arial" w:hAnsi="Arial" w:cs="Arial"/>
          <w:color w:val="212121"/>
          <w:sz w:val="20"/>
          <w:szCs w:val="20"/>
        </w:rPr>
        <w:t xml:space="preserve">Processo nº 108772/17 </w:t>
      </w:r>
      <w:hyperlink r:id="rId8" w:history="1">
        <w:r w:rsidRPr="00931206">
          <w:rPr>
            <w:rStyle w:val="Hyperlink"/>
            <w:rFonts w:ascii="Arial" w:hAnsi="Arial" w:cs="Arial"/>
            <w:sz w:val="20"/>
            <w:szCs w:val="20"/>
          </w:rPr>
          <w:t>– Acórdão nº 1715/19 – Primeira Câmara</w:t>
        </w:r>
      </w:hyperlink>
      <w:r w:rsidRPr="00931206">
        <w:rPr>
          <w:rFonts w:ascii="Arial" w:hAnsi="Arial" w:cs="Arial"/>
          <w:color w:val="212121"/>
          <w:sz w:val="20"/>
          <w:szCs w:val="20"/>
        </w:rPr>
        <w:t xml:space="preserve"> - Relator Conselheiro Fernando Augusto Mello Guimarães.</w:t>
      </w:r>
    </w:p>
    <w:p w14:paraId="412E59BC" w14:textId="77777777" w:rsidR="006A0628" w:rsidRPr="00BE7ED0" w:rsidRDefault="006A0628" w:rsidP="00A4051D">
      <w:pPr>
        <w:autoSpaceDE w:val="0"/>
        <w:autoSpaceDN w:val="0"/>
        <w:adjustRightInd w:val="0"/>
        <w:spacing w:after="0"/>
        <w:jc w:val="both"/>
        <w:rPr>
          <w:rFonts w:ascii="Arial" w:hAnsi="Arial" w:cs="Arial"/>
          <w:sz w:val="20"/>
          <w:szCs w:val="20"/>
        </w:rPr>
      </w:pPr>
    </w:p>
    <w:p w14:paraId="5A295F03" w14:textId="77777777" w:rsidR="007C18E7" w:rsidRPr="00BE7ED0" w:rsidRDefault="007C18E7" w:rsidP="00A4051D">
      <w:pPr>
        <w:shd w:val="pct10" w:color="auto" w:fill="auto"/>
        <w:spacing w:after="0"/>
        <w:jc w:val="center"/>
        <w:rPr>
          <w:rFonts w:ascii="Arial" w:hAnsi="Arial" w:cs="Arial"/>
          <w:b/>
          <w:sz w:val="20"/>
          <w:szCs w:val="20"/>
        </w:rPr>
      </w:pPr>
      <w:r w:rsidRPr="00BE7ED0">
        <w:rPr>
          <w:rFonts w:ascii="Arial" w:hAnsi="Arial" w:cs="Arial"/>
          <w:b/>
          <w:sz w:val="20"/>
          <w:szCs w:val="20"/>
        </w:rPr>
        <w:t xml:space="preserve">SEGUNDA CÂMARA </w:t>
      </w:r>
    </w:p>
    <w:p w14:paraId="002EDED8" w14:textId="295AF091" w:rsidR="007C18E7" w:rsidRDefault="007C18E7" w:rsidP="00A4051D">
      <w:pPr>
        <w:autoSpaceDE w:val="0"/>
        <w:autoSpaceDN w:val="0"/>
        <w:adjustRightInd w:val="0"/>
        <w:spacing w:after="0"/>
        <w:jc w:val="both"/>
        <w:rPr>
          <w:rFonts w:ascii="Arial" w:hAnsi="Arial" w:cs="Arial"/>
          <w:b/>
          <w:sz w:val="20"/>
          <w:szCs w:val="20"/>
        </w:rPr>
      </w:pPr>
    </w:p>
    <w:p w14:paraId="3F84A412" w14:textId="556929EA" w:rsidR="004A55FE" w:rsidRDefault="00931206" w:rsidP="00A4051D">
      <w:pPr>
        <w:autoSpaceDE w:val="0"/>
        <w:autoSpaceDN w:val="0"/>
        <w:adjustRightInd w:val="0"/>
        <w:spacing w:after="0"/>
        <w:jc w:val="both"/>
        <w:rPr>
          <w:rFonts w:ascii="Arial" w:hAnsi="Arial" w:cs="Arial"/>
          <w:b/>
          <w:sz w:val="20"/>
          <w:szCs w:val="20"/>
        </w:rPr>
      </w:pPr>
      <w:r>
        <w:rPr>
          <w:rFonts w:ascii="Arial" w:hAnsi="Arial" w:cs="Arial"/>
          <w:b/>
          <w:sz w:val="20"/>
          <w:szCs w:val="20"/>
        </w:rPr>
        <w:t>2</w:t>
      </w:r>
      <w:r w:rsidR="004A55FE" w:rsidRPr="00230603">
        <w:rPr>
          <w:rFonts w:ascii="Arial" w:hAnsi="Arial" w:cs="Arial"/>
          <w:b/>
          <w:sz w:val="20"/>
          <w:szCs w:val="20"/>
        </w:rPr>
        <w:t xml:space="preserve">. </w:t>
      </w:r>
      <w:r w:rsidR="004A55FE">
        <w:rPr>
          <w:rFonts w:ascii="Arial" w:hAnsi="Arial" w:cs="Arial"/>
          <w:b/>
          <w:sz w:val="20"/>
          <w:szCs w:val="20"/>
        </w:rPr>
        <w:t>Admissão de pessoal. Ausência de comprovação de envio de no mínimo 03 convites para a realização do processo de licitação na modalidade convite (art. 22, III, § 3º da Lei nº 8.666/93). Indícios de inidoneidade da empresa realizadora do certame em razão de denúncias na imprensa. Expedição de recomendação. Aplicação de multa.</w:t>
      </w:r>
    </w:p>
    <w:p w14:paraId="5E97288B" w14:textId="77777777" w:rsidR="004A55FE" w:rsidRPr="00931206" w:rsidRDefault="004A55FE" w:rsidP="00A4051D">
      <w:pPr>
        <w:autoSpaceDE w:val="0"/>
        <w:autoSpaceDN w:val="0"/>
        <w:adjustRightInd w:val="0"/>
        <w:spacing w:after="0"/>
        <w:jc w:val="both"/>
        <w:rPr>
          <w:rFonts w:ascii="Arial" w:hAnsi="Arial" w:cs="Arial"/>
          <w:sz w:val="20"/>
          <w:szCs w:val="20"/>
        </w:rPr>
      </w:pPr>
    </w:p>
    <w:p w14:paraId="67FB4CD0" w14:textId="77777777" w:rsidR="004A55FE" w:rsidRDefault="004A55FE" w:rsidP="00A4051D">
      <w:pPr>
        <w:autoSpaceDE w:val="0"/>
        <w:autoSpaceDN w:val="0"/>
        <w:adjustRightInd w:val="0"/>
        <w:spacing w:after="0"/>
        <w:jc w:val="both"/>
        <w:rPr>
          <w:rFonts w:ascii="Arial" w:hAnsi="Arial" w:cs="Arial"/>
          <w:sz w:val="20"/>
          <w:szCs w:val="20"/>
        </w:rPr>
      </w:pPr>
      <w:r w:rsidRPr="00372C37">
        <w:rPr>
          <w:rFonts w:ascii="Arial" w:hAnsi="Arial" w:cs="Arial"/>
          <w:sz w:val="20"/>
          <w:szCs w:val="20"/>
        </w:rPr>
        <w:t>Aplicar a multa prevista no art. 87, III, “d” da Lei Orgânica deste</w:t>
      </w:r>
      <w:r w:rsidRPr="00931206">
        <w:rPr>
          <w:rFonts w:ascii="Arial" w:hAnsi="Arial" w:cs="Arial"/>
          <w:sz w:val="20"/>
          <w:szCs w:val="20"/>
        </w:rPr>
        <w:t xml:space="preserve"> </w:t>
      </w:r>
      <w:r w:rsidRPr="00372C37">
        <w:rPr>
          <w:rFonts w:ascii="Arial" w:hAnsi="Arial" w:cs="Arial"/>
          <w:sz w:val="20"/>
          <w:szCs w:val="20"/>
        </w:rPr>
        <w:t>Tribunal de Contas ao Presidente da Câmara Municipal em razão do</w:t>
      </w:r>
      <w:r>
        <w:rPr>
          <w:rFonts w:ascii="Arial" w:hAnsi="Arial" w:cs="Arial"/>
          <w:sz w:val="20"/>
          <w:szCs w:val="20"/>
        </w:rPr>
        <w:t xml:space="preserve"> </w:t>
      </w:r>
      <w:r w:rsidRPr="00372C37">
        <w:rPr>
          <w:rFonts w:ascii="Arial" w:hAnsi="Arial" w:cs="Arial"/>
          <w:sz w:val="20"/>
          <w:szCs w:val="20"/>
        </w:rPr>
        <w:t>descumprimento do art. 22, §3º e art. 38, inciso VI da Lei nº 8.666/93.</w:t>
      </w:r>
    </w:p>
    <w:p w14:paraId="2EBEAC1E" w14:textId="77777777" w:rsidR="004A55FE" w:rsidRPr="00372C37" w:rsidRDefault="004A55FE" w:rsidP="00A4051D">
      <w:pPr>
        <w:autoSpaceDE w:val="0"/>
        <w:autoSpaceDN w:val="0"/>
        <w:adjustRightInd w:val="0"/>
        <w:spacing w:after="0"/>
        <w:jc w:val="both"/>
        <w:rPr>
          <w:rFonts w:ascii="Arial" w:hAnsi="Arial" w:cs="Arial"/>
          <w:sz w:val="20"/>
          <w:szCs w:val="20"/>
        </w:rPr>
      </w:pPr>
    </w:p>
    <w:p w14:paraId="63DDCB98" w14:textId="77777777" w:rsidR="004A55FE" w:rsidRPr="00372C37" w:rsidRDefault="004A55FE" w:rsidP="00A4051D">
      <w:pPr>
        <w:autoSpaceDE w:val="0"/>
        <w:autoSpaceDN w:val="0"/>
        <w:adjustRightInd w:val="0"/>
        <w:spacing w:after="0"/>
        <w:jc w:val="both"/>
        <w:rPr>
          <w:rFonts w:ascii="Arial" w:hAnsi="Arial" w:cs="Arial"/>
          <w:sz w:val="20"/>
          <w:szCs w:val="20"/>
        </w:rPr>
      </w:pPr>
      <w:r w:rsidRPr="00372C37">
        <w:rPr>
          <w:rFonts w:ascii="Arial" w:hAnsi="Arial" w:cs="Arial"/>
          <w:sz w:val="20"/>
          <w:szCs w:val="20"/>
        </w:rPr>
        <w:t>Expedir recomendação à Câmara Municipal a fim de que em</w:t>
      </w:r>
      <w:r>
        <w:rPr>
          <w:rFonts w:ascii="Arial" w:hAnsi="Arial" w:cs="Arial"/>
          <w:sz w:val="20"/>
          <w:szCs w:val="20"/>
        </w:rPr>
        <w:t xml:space="preserve"> </w:t>
      </w:r>
      <w:r w:rsidRPr="00372C37">
        <w:rPr>
          <w:rFonts w:ascii="Arial" w:hAnsi="Arial" w:cs="Arial"/>
          <w:sz w:val="20"/>
          <w:szCs w:val="20"/>
        </w:rPr>
        <w:t>processos de licitação futuro se abstenha de convidar, ou mesmo de permitir, que</w:t>
      </w:r>
      <w:r>
        <w:rPr>
          <w:rFonts w:ascii="Arial" w:hAnsi="Arial" w:cs="Arial"/>
          <w:sz w:val="20"/>
          <w:szCs w:val="20"/>
        </w:rPr>
        <w:t xml:space="preserve"> </w:t>
      </w:r>
      <w:r w:rsidRPr="00372C37">
        <w:rPr>
          <w:rFonts w:ascii="Arial" w:hAnsi="Arial" w:cs="Arial"/>
          <w:sz w:val="20"/>
          <w:szCs w:val="20"/>
        </w:rPr>
        <w:t>empresas de idoneidade moral questionada participem de licitações que venha a</w:t>
      </w:r>
      <w:r>
        <w:rPr>
          <w:rFonts w:ascii="Arial" w:hAnsi="Arial" w:cs="Arial"/>
          <w:sz w:val="20"/>
          <w:szCs w:val="20"/>
        </w:rPr>
        <w:t xml:space="preserve"> </w:t>
      </w:r>
      <w:r w:rsidRPr="00372C37">
        <w:rPr>
          <w:rFonts w:ascii="Arial" w:hAnsi="Arial" w:cs="Arial"/>
          <w:sz w:val="20"/>
          <w:szCs w:val="20"/>
        </w:rPr>
        <w:t>promover, bem como observe o art. 46 da Lei nº 8.666/93, adotando o tipo de</w:t>
      </w:r>
      <w:r>
        <w:rPr>
          <w:rFonts w:ascii="Arial" w:hAnsi="Arial" w:cs="Arial"/>
          <w:sz w:val="20"/>
          <w:szCs w:val="20"/>
        </w:rPr>
        <w:t xml:space="preserve"> </w:t>
      </w:r>
      <w:r w:rsidRPr="00372C37">
        <w:rPr>
          <w:rFonts w:ascii="Arial" w:hAnsi="Arial" w:cs="Arial"/>
          <w:sz w:val="20"/>
          <w:szCs w:val="20"/>
        </w:rPr>
        <w:t>licitação técnica e preço, mais adequado a esta espécie contratual, tendo em vista</w:t>
      </w:r>
      <w:r>
        <w:rPr>
          <w:rFonts w:ascii="Arial" w:hAnsi="Arial" w:cs="Arial"/>
          <w:sz w:val="20"/>
          <w:szCs w:val="20"/>
        </w:rPr>
        <w:t xml:space="preserve"> </w:t>
      </w:r>
      <w:r w:rsidRPr="00372C37">
        <w:rPr>
          <w:rFonts w:ascii="Arial" w:hAnsi="Arial" w:cs="Arial"/>
          <w:sz w:val="20"/>
          <w:szCs w:val="20"/>
        </w:rPr>
        <w:t>que privilegia o critério da forma de execução, e não somente preço, considerando</w:t>
      </w:r>
      <w:r>
        <w:rPr>
          <w:rFonts w:ascii="Arial" w:hAnsi="Arial" w:cs="Arial"/>
          <w:sz w:val="20"/>
          <w:szCs w:val="20"/>
        </w:rPr>
        <w:t>-</w:t>
      </w:r>
      <w:r w:rsidRPr="00372C37">
        <w:rPr>
          <w:rFonts w:ascii="Arial" w:hAnsi="Arial" w:cs="Arial"/>
          <w:sz w:val="20"/>
          <w:szCs w:val="20"/>
        </w:rPr>
        <w:t>se</w:t>
      </w:r>
      <w:r>
        <w:rPr>
          <w:rFonts w:ascii="Arial" w:hAnsi="Arial" w:cs="Arial"/>
          <w:sz w:val="20"/>
          <w:szCs w:val="20"/>
        </w:rPr>
        <w:t xml:space="preserve"> </w:t>
      </w:r>
      <w:r w:rsidRPr="00372C37">
        <w:rPr>
          <w:rFonts w:ascii="Arial" w:hAnsi="Arial" w:cs="Arial"/>
          <w:sz w:val="20"/>
          <w:szCs w:val="20"/>
        </w:rPr>
        <w:t>a grande parte do trabalho intelectual implicado na elaboração de um concurso.</w:t>
      </w:r>
    </w:p>
    <w:p w14:paraId="6184A79B" w14:textId="77777777" w:rsidR="004A55FE" w:rsidRPr="00FC38A5" w:rsidRDefault="004A55FE" w:rsidP="00A4051D">
      <w:pPr>
        <w:autoSpaceDE w:val="0"/>
        <w:autoSpaceDN w:val="0"/>
        <w:adjustRightInd w:val="0"/>
        <w:spacing w:after="0"/>
        <w:jc w:val="both"/>
        <w:rPr>
          <w:rFonts w:ascii="Arial" w:hAnsi="Arial" w:cs="Arial"/>
          <w:sz w:val="20"/>
          <w:szCs w:val="20"/>
        </w:rPr>
      </w:pPr>
    </w:p>
    <w:p w14:paraId="391ED28E" w14:textId="77777777" w:rsidR="004A55FE" w:rsidRPr="00230603" w:rsidRDefault="004A55FE" w:rsidP="00A4051D">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325956/11</w:t>
      </w:r>
      <w:r w:rsidRPr="00230603">
        <w:rPr>
          <w:rFonts w:ascii="Arial" w:hAnsi="Arial" w:cs="Arial"/>
          <w:sz w:val="20"/>
          <w:szCs w:val="20"/>
        </w:rPr>
        <w:t xml:space="preserve"> – </w:t>
      </w:r>
      <w:hyperlink r:id="rId9" w:history="1">
        <w:r w:rsidRPr="006D76E0">
          <w:rPr>
            <w:rStyle w:val="Hyperlink"/>
            <w:rFonts w:ascii="Arial" w:hAnsi="Arial" w:cs="Arial"/>
            <w:sz w:val="20"/>
            <w:szCs w:val="20"/>
          </w:rPr>
          <w:t>Acórdão nº 1731/19 – Segunda Câmara</w:t>
        </w:r>
      </w:hyperlink>
      <w:r w:rsidRPr="00230603">
        <w:rPr>
          <w:rFonts w:ascii="Arial" w:hAnsi="Arial" w:cs="Arial"/>
          <w:sz w:val="20"/>
          <w:szCs w:val="20"/>
        </w:rPr>
        <w:t xml:space="preserve"> - Relator </w:t>
      </w:r>
      <w:r>
        <w:rPr>
          <w:rFonts w:ascii="Arial" w:hAnsi="Arial" w:cs="Arial"/>
          <w:sz w:val="20"/>
          <w:szCs w:val="20"/>
        </w:rPr>
        <w:t xml:space="preserve">Conselheiro Ivens </w:t>
      </w:r>
      <w:proofErr w:type="spellStart"/>
      <w:r>
        <w:rPr>
          <w:rFonts w:ascii="Arial" w:hAnsi="Arial" w:cs="Arial"/>
          <w:sz w:val="20"/>
          <w:szCs w:val="20"/>
        </w:rPr>
        <w:t>Zschoerper</w:t>
      </w:r>
      <w:proofErr w:type="spellEnd"/>
      <w:r>
        <w:rPr>
          <w:rFonts w:ascii="Arial" w:hAnsi="Arial" w:cs="Arial"/>
          <w:sz w:val="20"/>
          <w:szCs w:val="20"/>
        </w:rPr>
        <w:t xml:space="preserve"> Linhares.</w:t>
      </w:r>
    </w:p>
    <w:p w14:paraId="5A232A18" w14:textId="77777777" w:rsidR="003319D0" w:rsidRPr="00BE7ED0" w:rsidRDefault="003319D0" w:rsidP="00A4051D">
      <w:pPr>
        <w:autoSpaceDE w:val="0"/>
        <w:autoSpaceDN w:val="0"/>
        <w:adjustRightInd w:val="0"/>
        <w:spacing w:after="0"/>
        <w:jc w:val="both"/>
        <w:rPr>
          <w:rFonts w:ascii="Arial" w:hAnsi="Arial" w:cs="Arial"/>
          <w:b/>
          <w:sz w:val="20"/>
          <w:szCs w:val="20"/>
          <w:highlight w:val="yellow"/>
        </w:rPr>
      </w:pPr>
    </w:p>
    <w:p w14:paraId="544ABA9D" w14:textId="77777777" w:rsidR="007C18E7" w:rsidRPr="00BE7ED0" w:rsidRDefault="007C18E7" w:rsidP="00A4051D">
      <w:pPr>
        <w:shd w:val="pct10" w:color="auto" w:fill="auto"/>
        <w:spacing w:after="0"/>
        <w:jc w:val="center"/>
        <w:rPr>
          <w:rFonts w:ascii="Arial" w:hAnsi="Arial" w:cs="Arial"/>
          <w:b/>
          <w:sz w:val="20"/>
          <w:szCs w:val="20"/>
        </w:rPr>
      </w:pPr>
      <w:r w:rsidRPr="00BE7ED0">
        <w:rPr>
          <w:rFonts w:ascii="Arial" w:hAnsi="Arial" w:cs="Arial"/>
          <w:b/>
          <w:sz w:val="20"/>
          <w:szCs w:val="20"/>
        </w:rPr>
        <w:t>TRIBUNAL PLENO</w:t>
      </w:r>
    </w:p>
    <w:p w14:paraId="51E60262" w14:textId="180705CB" w:rsidR="007C18E7" w:rsidRDefault="007C18E7" w:rsidP="00A4051D">
      <w:pPr>
        <w:autoSpaceDE w:val="0"/>
        <w:autoSpaceDN w:val="0"/>
        <w:adjustRightInd w:val="0"/>
        <w:spacing w:after="0"/>
        <w:jc w:val="both"/>
        <w:rPr>
          <w:rFonts w:ascii="Arial" w:hAnsi="Arial" w:cs="Arial"/>
          <w:sz w:val="20"/>
          <w:szCs w:val="20"/>
        </w:rPr>
      </w:pPr>
    </w:p>
    <w:p w14:paraId="2770CDAD" w14:textId="636F3AC2" w:rsidR="004A55FE" w:rsidRPr="008C57BF" w:rsidRDefault="00931206" w:rsidP="00A4051D">
      <w:pPr>
        <w:autoSpaceDE w:val="0"/>
        <w:autoSpaceDN w:val="0"/>
        <w:adjustRightInd w:val="0"/>
        <w:spacing w:after="0"/>
        <w:jc w:val="both"/>
        <w:rPr>
          <w:rFonts w:ascii="Arial" w:hAnsi="Arial" w:cs="Arial"/>
          <w:b/>
          <w:sz w:val="20"/>
          <w:szCs w:val="20"/>
        </w:rPr>
      </w:pPr>
      <w:r>
        <w:rPr>
          <w:rFonts w:ascii="Arial" w:hAnsi="Arial" w:cs="Arial"/>
          <w:b/>
          <w:sz w:val="20"/>
          <w:szCs w:val="20"/>
        </w:rPr>
        <w:t>3</w:t>
      </w:r>
      <w:r w:rsidR="004A55FE" w:rsidRPr="00B8112B">
        <w:rPr>
          <w:rFonts w:ascii="Arial" w:hAnsi="Arial" w:cs="Arial"/>
          <w:b/>
          <w:sz w:val="20"/>
          <w:szCs w:val="20"/>
        </w:rPr>
        <w:t>.</w:t>
      </w:r>
      <w:r w:rsidR="004A55FE">
        <w:rPr>
          <w:rFonts w:ascii="Arial" w:hAnsi="Arial" w:cs="Arial"/>
          <w:b/>
          <w:sz w:val="20"/>
          <w:szCs w:val="20"/>
        </w:rPr>
        <w:t xml:space="preserve"> </w:t>
      </w:r>
      <w:r w:rsidR="004A55FE" w:rsidRPr="008C57BF">
        <w:rPr>
          <w:rFonts w:ascii="Arial" w:hAnsi="Arial" w:cs="Arial"/>
          <w:b/>
          <w:sz w:val="20"/>
          <w:szCs w:val="20"/>
        </w:rPr>
        <w:t>Representação da Lei nº 8.666/1993. A previsão de correção monetária é obrigatória nos contratos administrativos. É indevida a exigência de número mínimo de atestados, exceto quando a complexidade do objeto assim exigir, desde que devidamente justificado.</w:t>
      </w:r>
    </w:p>
    <w:p w14:paraId="2D8F1BB9" w14:textId="77777777" w:rsidR="004A55FE" w:rsidRPr="00931206" w:rsidRDefault="004A55FE" w:rsidP="00A4051D">
      <w:pPr>
        <w:autoSpaceDE w:val="0"/>
        <w:autoSpaceDN w:val="0"/>
        <w:adjustRightInd w:val="0"/>
        <w:spacing w:after="0"/>
        <w:jc w:val="both"/>
        <w:rPr>
          <w:rFonts w:ascii="Arial" w:hAnsi="Arial" w:cs="Arial"/>
          <w:sz w:val="20"/>
          <w:szCs w:val="20"/>
        </w:rPr>
      </w:pPr>
    </w:p>
    <w:p w14:paraId="662752AF" w14:textId="078DA700" w:rsidR="004A55FE" w:rsidRDefault="004A55FE" w:rsidP="00A4051D">
      <w:pPr>
        <w:autoSpaceDE w:val="0"/>
        <w:autoSpaceDN w:val="0"/>
        <w:adjustRightInd w:val="0"/>
        <w:spacing w:after="0"/>
        <w:jc w:val="both"/>
        <w:rPr>
          <w:rFonts w:ascii="Arial" w:hAnsi="Arial" w:cs="Arial"/>
          <w:sz w:val="20"/>
          <w:szCs w:val="20"/>
        </w:rPr>
      </w:pPr>
      <w:r w:rsidRPr="00130687">
        <w:rPr>
          <w:rFonts w:ascii="Arial" w:hAnsi="Arial" w:cs="Arial"/>
          <w:sz w:val="20"/>
          <w:szCs w:val="20"/>
        </w:rPr>
        <w:t>Depreende-se que a Lei n.º 8.666/93, art. 55, inciso III, determina que o preço e as condições de pagamento necessariamente devem estar presentes nos contratos administrativos, o que não foi cumprido pela Municipalidade, incorrendo o edital em irregularidade.</w:t>
      </w:r>
    </w:p>
    <w:p w14:paraId="0D9BF28C" w14:textId="77777777" w:rsidR="004A55FE" w:rsidRDefault="004A55FE" w:rsidP="00A4051D">
      <w:pPr>
        <w:autoSpaceDE w:val="0"/>
        <w:autoSpaceDN w:val="0"/>
        <w:adjustRightInd w:val="0"/>
        <w:spacing w:after="0"/>
        <w:jc w:val="both"/>
        <w:rPr>
          <w:rFonts w:ascii="Arial" w:hAnsi="Arial" w:cs="Arial"/>
          <w:sz w:val="20"/>
          <w:szCs w:val="20"/>
        </w:rPr>
      </w:pPr>
    </w:p>
    <w:p w14:paraId="32B498B6" w14:textId="77777777" w:rsidR="004A55FE" w:rsidRDefault="004A55FE" w:rsidP="00A4051D">
      <w:pPr>
        <w:autoSpaceDE w:val="0"/>
        <w:autoSpaceDN w:val="0"/>
        <w:adjustRightInd w:val="0"/>
        <w:spacing w:after="0"/>
        <w:jc w:val="both"/>
        <w:rPr>
          <w:rFonts w:ascii="Arial" w:hAnsi="Arial" w:cs="Arial"/>
          <w:sz w:val="20"/>
          <w:szCs w:val="20"/>
        </w:rPr>
      </w:pPr>
      <w:r w:rsidRPr="00130687">
        <w:rPr>
          <w:rFonts w:ascii="Arial" w:hAnsi="Arial" w:cs="Arial"/>
          <w:sz w:val="20"/>
          <w:szCs w:val="20"/>
        </w:rPr>
        <w:t>Todavia,</w:t>
      </w:r>
      <w:r>
        <w:rPr>
          <w:rFonts w:ascii="Arial" w:hAnsi="Arial" w:cs="Arial"/>
          <w:sz w:val="20"/>
          <w:szCs w:val="20"/>
        </w:rPr>
        <w:t xml:space="preserve"> </w:t>
      </w:r>
      <w:r w:rsidRPr="00130687">
        <w:rPr>
          <w:rFonts w:ascii="Arial" w:hAnsi="Arial" w:cs="Arial"/>
          <w:sz w:val="20"/>
          <w:szCs w:val="20"/>
        </w:rPr>
        <w:t>o direito à correção monetária é garantido mesmo sem previsão no instrumento convocatório, de modo que a inconformidade não é suficiente para macular o certame, uma vez que os índices se prestam tão somente à preservação do valor pactuado.</w:t>
      </w:r>
    </w:p>
    <w:p w14:paraId="55534C44" w14:textId="77777777" w:rsidR="004A55FE" w:rsidRDefault="004A55FE" w:rsidP="00A4051D">
      <w:pPr>
        <w:autoSpaceDE w:val="0"/>
        <w:autoSpaceDN w:val="0"/>
        <w:adjustRightInd w:val="0"/>
        <w:spacing w:after="0"/>
        <w:jc w:val="both"/>
        <w:rPr>
          <w:rFonts w:ascii="Arial" w:hAnsi="Arial" w:cs="Arial"/>
          <w:sz w:val="20"/>
          <w:szCs w:val="20"/>
        </w:rPr>
      </w:pPr>
    </w:p>
    <w:p w14:paraId="77A1B7D9" w14:textId="77777777" w:rsidR="004A55FE" w:rsidRDefault="004A55FE" w:rsidP="00A4051D">
      <w:pPr>
        <w:autoSpaceDE w:val="0"/>
        <w:autoSpaceDN w:val="0"/>
        <w:adjustRightInd w:val="0"/>
        <w:spacing w:after="0"/>
        <w:jc w:val="both"/>
        <w:rPr>
          <w:rFonts w:ascii="Arial" w:hAnsi="Arial" w:cs="Arial"/>
          <w:sz w:val="20"/>
          <w:szCs w:val="20"/>
        </w:rPr>
      </w:pPr>
      <w:r w:rsidRPr="00130687">
        <w:rPr>
          <w:rFonts w:ascii="Arial" w:hAnsi="Arial" w:cs="Arial"/>
          <w:sz w:val="20"/>
          <w:szCs w:val="20"/>
        </w:rPr>
        <w:lastRenderedPageBreak/>
        <w:t>Com efeito, o direito ao reajuste contratual é um princípio elementar da relação entre a Administração Pública e o contratado, cristalizado no art. 37, XXI, da Constituição Federal, tornando irrelevante, por conseguinte, a inexistência de cláusula garantindo a manutenção do equilíbrio econômico financeiro do contrato.</w:t>
      </w:r>
    </w:p>
    <w:p w14:paraId="1216F64C" w14:textId="77777777" w:rsidR="004A55FE" w:rsidRDefault="004A55FE" w:rsidP="00A4051D">
      <w:pPr>
        <w:autoSpaceDE w:val="0"/>
        <w:autoSpaceDN w:val="0"/>
        <w:adjustRightInd w:val="0"/>
        <w:spacing w:after="0"/>
        <w:jc w:val="both"/>
        <w:rPr>
          <w:rFonts w:ascii="Arial" w:hAnsi="Arial" w:cs="Arial"/>
          <w:sz w:val="20"/>
          <w:szCs w:val="20"/>
        </w:rPr>
      </w:pPr>
    </w:p>
    <w:p w14:paraId="15F37BD5" w14:textId="77777777" w:rsidR="004A55FE" w:rsidRDefault="004A55FE" w:rsidP="00A4051D">
      <w:pPr>
        <w:autoSpaceDE w:val="0"/>
        <w:autoSpaceDN w:val="0"/>
        <w:adjustRightInd w:val="0"/>
        <w:spacing w:after="0"/>
        <w:jc w:val="both"/>
        <w:rPr>
          <w:rFonts w:ascii="Arial" w:hAnsi="Arial" w:cs="Arial"/>
          <w:sz w:val="20"/>
          <w:szCs w:val="20"/>
        </w:rPr>
      </w:pPr>
      <w:r w:rsidRPr="00130687">
        <w:rPr>
          <w:rFonts w:ascii="Arial" w:hAnsi="Arial" w:cs="Arial"/>
          <w:sz w:val="20"/>
          <w:szCs w:val="20"/>
        </w:rPr>
        <w:t>Da mesma forma, é irregular a exigência de “no mínimo 02 (dois) atestados, emitidos por pessoa jurídica de direito público ou privado, que comprove a aptidão da licitante para fornecimento do objeto licitado”, pois compromete a competitividade do certame, consoante o entendimento consolidado nesta Corte e no Tribunal de Contas da União</w:t>
      </w:r>
      <w:r>
        <w:rPr>
          <w:rFonts w:ascii="Arial" w:hAnsi="Arial" w:cs="Arial"/>
          <w:sz w:val="20"/>
          <w:szCs w:val="20"/>
        </w:rPr>
        <w:t>.</w:t>
      </w:r>
    </w:p>
    <w:p w14:paraId="38E25307" w14:textId="77777777" w:rsidR="004A55FE" w:rsidRDefault="004A55FE" w:rsidP="00A4051D">
      <w:pPr>
        <w:autoSpaceDE w:val="0"/>
        <w:autoSpaceDN w:val="0"/>
        <w:adjustRightInd w:val="0"/>
        <w:spacing w:after="0"/>
        <w:jc w:val="both"/>
        <w:rPr>
          <w:rFonts w:ascii="Arial" w:hAnsi="Arial" w:cs="Arial"/>
          <w:sz w:val="20"/>
          <w:szCs w:val="20"/>
        </w:rPr>
      </w:pPr>
    </w:p>
    <w:p w14:paraId="5D97F34E" w14:textId="77777777" w:rsidR="004A55FE" w:rsidRPr="00931206" w:rsidRDefault="004A55FE" w:rsidP="00A4051D">
      <w:pPr>
        <w:autoSpaceDE w:val="0"/>
        <w:autoSpaceDN w:val="0"/>
        <w:adjustRightInd w:val="0"/>
        <w:spacing w:after="0"/>
        <w:jc w:val="both"/>
        <w:rPr>
          <w:rFonts w:ascii="Arial" w:hAnsi="Arial" w:cs="Arial"/>
          <w:sz w:val="20"/>
          <w:szCs w:val="20"/>
        </w:rPr>
      </w:pPr>
      <w:r w:rsidRPr="00130687">
        <w:rPr>
          <w:rFonts w:ascii="Arial" w:hAnsi="Arial" w:cs="Arial"/>
          <w:sz w:val="20"/>
          <w:szCs w:val="20"/>
        </w:rPr>
        <w:t>Ressalte-se que a Súmula n.º 263 do Tribunal de Contas da União, invocada pela Municipalidade, autoriza ao ente requerer a documentação que julgue necessária à demonstração da capacidade técnica da licitante, porém, desde que a exigência seja compatível com a complexidade do objeto a ser licitado</w:t>
      </w:r>
    </w:p>
    <w:p w14:paraId="18A307F4" w14:textId="77777777" w:rsidR="004A55FE" w:rsidRPr="00454F62" w:rsidRDefault="004A55FE" w:rsidP="00A4051D">
      <w:pPr>
        <w:autoSpaceDE w:val="0"/>
        <w:autoSpaceDN w:val="0"/>
        <w:adjustRightInd w:val="0"/>
        <w:spacing w:after="0"/>
        <w:jc w:val="both"/>
        <w:rPr>
          <w:rFonts w:ascii="Arial" w:hAnsi="Arial" w:cs="Arial"/>
          <w:b/>
          <w:sz w:val="20"/>
          <w:szCs w:val="20"/>
        </w:rPr>
      </w:pPr>
    </w:p>
    <w:p w14:paraId="4174E54C" w14:textId="77777777" w:rsidR="004A55FE" w:rsidRDefault="004A55FE" w:rsidP="00A4051D">
      <w:pPr>
        <w:autoSpaceDE w:val="0"/>
        <w:autoSpaceDN w:val="0"/>
        <w:adjustRightInd w:val="0"/>
        <w:spacing w:after="0"/>
        <w:jc w:val="both"/>
        <w:rPr>
          <w:rFonts w:ascii="Arial" w:hAnsi="Arial" w:cs="Arial"/>
          <w:sz w:val="20"/>
          <w:szCs w:val="20"/>
        </w:rPr>
      </w:pPr>
      <w:r w:rsidRPr="00B8112B">
        <w:rPr>
          <w:rFonts w:ascii="Arial" w:hAnsi="Arial" w:cs="Arial"/>
          <w:sz w:val="20"/>
          <w:szCs w:val="20"/>
        </w:rPr>
        <w:t xml:space="preserve">Processo </w:t>
      </w:r>
      <w:r w:rsidRPr="00130687">
        <w:rPr>
          <w:rFonts w:ascii="Arial" w:hAnsi="Arial" w:cs="Arial"/>
          <w:sz w:val="20"/>
          <w:szCs w:val="20"/>
        </w:rPr>
        <w:t>nº 243282/18</w:t>
      </w:r>
      <w:r w:rsidRPr="00B8112B">
        <w:rPr>
          <w:rFonts w:ascii="Arial" w:hAnsi="Arial" w:cs="Arial"/>
          <w:sz w:val="20"/>
          <w:szCs w:val="20"/>
        </w:rPr>
        <w:t xml:space="preserve"> – </w:t>
      </w:r>
      <w:hyperlink r:id="rId10" w:history="1">
        <w:r w:rsidRPr="00B8112B">
          <w:rPr>
            <w:rStyle w:val="Hyperlink"/>
            <w:rFonts w:ascii="Arial" w:hAnsi="Arial" w:cs="Arial"/>
            <w:sz w:val="20"/>
            <w:szCs w:val="20"/>
          </w:rPr>
          <w:t xml:space="preserve">Acórdão nº </w:t>
        </w:r>
        <w:r>
          <w:rPr>
            <w:rStyle w:val="Hyperlink"/>
            <w:rFonts w:ascii="Arial" w:hAnsi="Arial" w:cs="Arial"/>
            <w:sz w:val="20"/>
            <w:szCs w:val="20"/>
          </w:rPr>
          <w:t>1748</w:t>
        </w:r>
        <w:r w:rsidRPr="00B8112B">
          <w:rPr>
            <w:rStyle w:val="Hyperlink"/>
            <w:rFonts w:ascii="Arial" w:hAnsi="Arial" w:cs="Arial"/>
            <w:sz w:val="20"/>
            <w:szCs w:val="20"/>
          </w:rPr>
          <w:t xml:space="preserve">/19 – </w:t>
        </w:r>
        <w:r>
          <w:rPr>
            <w:rStyle w:val="Hyperlink"/>
            <w:rFonts w:ascii="Arial" w:hAnsi="Arial" w:cs="Arial"/>
            <w:sz w:val="20"/>
            <w:szCs w:val="20"/>
          </w:rPr>
          <w:t>Tribunal Pleno</w:t>
        </w:r>
      </w:hyperlink>
      <w:r w:rsidRPr="00B8112B">
        <w:rPr>
          <w:rFonts w:ascii="Arial" w:hAnsi="Arial" w:cs="Arial"/>
          <w:sz w:val="20"/>
          <w:szCs w:val="20"/>
        </w:rPr>
        <w:t xml:space="preserve"> </w:t>
      </w:r>
      <w:r>
        <w:rPr>
          <w:rFonts w:ascii="Arial" w:hAnsi="Arial" w:cs="Arial"/>
          <w:sz w:val="20"/>
          <w:szCs w:val="20"/>
        </w:rPr>
        <w:t xml:space="preserve">- </w:t>
      </w:r>
      <w:r w:rsidRPr="00B8112B">
        <w:rPr>
          <w:rFonts w:ascii="Arial" w:hAnsi="Arial" w:cs="Arial"/>
          <w:sz w:val="20"/>
          <w:szCs w:val="20"/>
        </w:rPr>
        <w:t xml:space="preserve">Relator </w:t>
      </w:r>
      <w:r>
        <w:rPr>
          <w:rFonts w:ascii="Arial" w:hAnsi="Arial" w:cs="Arial"/>
          <w:sz w:val="20"/>
          <w:szCs w:val="20"/>
        </w:rPr>
        <w:t>C</w:t>
      </w:r>
      <w:r w:rsidRPr="00931206">
        <w:rPr>
          <w:rFonts w:ascii="Arial" w:hAnsi="Arial" w:cs="Arial"/>
          <w:sz w:val="20"/>
          <w:szCs w:val="20"/>
        </w:rPr>
        <w:t xml:space="preserve">onselheiro </w:t>
      </w:r>
      <w:proofErr w:type="spellStart"/>
      <w:r w:rsidRPr="00931206">
        <w:rPr>
          <w:rFonts w:ascii="Arial" w:hAnsi="Arial" w:cs="Arial"/>
          <w:sz w:val="20"/>
          <w:szCs w:val="20"/>
        </w:rPr>
        <w:t>Artagão</w:t>
      </w:r>
      <w:proofErr w:type="spellEnd"/>
      <w:r w:rsidRPr="00931206">
        <w:rPr>
          <w:rFonts w:ascii="Arial" w:hAnsi="Arial" w:cs="Arial"/>
          <w:sz w:val="20"/>
          <w:szCs w:val="20"/>
        </w:rPr>
        <w:t xml:space="preserve"> de Mattos Leão</w:t>
      </w:r>
      <w:r w:rsidRPr="00B8112B">
        <w:rPr>
          <w:rFonts w:ascii="Arial" w:hAnsi="Arial" w:cs="Arial"/>
          <w:sz w:val="20"/>
          <w:szCs w:val="20"/>
        </w:rPr>
        <w:t>.</w:t>
      </w:r>
    </w:p>
    <w:p w14:paraId="4D3B7334" w14:textId="77777777" w:rsidR="004A55FE" w:rsidRDefault="004A55FE" w:rsidP="00A4051D">
      <w:pPr>
        <w:autoSpaceDE w:val="0"/>
        <w:autoSpaceDN w:val="0"/>
        <w:adjustRightInd w:val="0"/>
        <w:spacing w:after="0"/>
        <w:jc w:val="both"/>
        <w:rPr>
          <w:rFonts w:ascii="Arial" w:hAnsi="Arial" w:cs="Arial"/>
          <w:sz w:val="20"/>
          <w:szCs w:val="20"/>
        </w:rPr>
      </w:pPr>
    </w:p>
    <w:p w14:paraId="7CBF7D69" w14:textId="462A8693" w:rsidR="004A55FE" w:rsidRDefault="00931206" w:rsidP="00A4051D">
      <w:pPr>
        <w:autoSpaceDE w:val="0"/>
        <w:autoSpaceDN w:val="0"/>
        <w:adjustRightInd w:val="0"/>
        <w:spacing w:after="0"/>
        <w:jc w:val="both"/>
        <w:rPr>
          <w:rFonts w:ascii="Arial" w:hAnsi="Arial" w:cs="Arial"/>
          <w:b/>
          <w:sz w:val="20"/>
          <w:szCs w:val="20"/>
        </w:rPr>
      </w:pPr>
      <w:r>
        <w:rPr>
          <w:rFonts w:ascii="Arial" w:hAnsi="Arial" w:cs="Arial"/>
          <w:b/>
          <w:sz w:val="20"/>
          <w:szCs w:val="20"/>
        </w:rPr>
        <w:t>4</w:t>
      </w:r>
      <w:r w:rsidR="004A55FE" w:rsidRPr="00C72ECC">
        <w:rPr>
          <w:rFonts w:ascii="Arial" w:hAnsi="Arial" w:cs="Arial"/>
          <w:b/>
          <w:sz w:val="20"/>
          <w:szCs w:val="20"/>
        </w:rPr>
        <w:t xml:space="preserve">. Representação da Lei nº 8.666/93. Município. Concorrência. </w:t>
      </w:r>
      <w:bookmarkStart w:id="0" w:name="_GoBack"/>
      <w:bookmarkEnd w:id="0"/>
      <w:r w:rsidR="004A55FE" w:rsidRPr="00C72ECC">
        <w:rPr>
          <w:rFonts w:ascii="Arial" w:hAnsi="Arial" w:cs="Arial"/>
          <w:b/>
          <w:sz w:val="20"/>
          <w:szCs w:val="20"/>
        </w:rPr>
        <w:t>Alegação de que a regra da exclusividade da participação de Microempresas e Empresas de Pequeno Porte do art. 48, I, da LC</w:t>
      </w:r>
      <w:r w:rsidR="009D7A03">
        <w:rPr>
          <w:rFonts w:ascii="Arial" w:hAnsi="Arial" w:cs="Arial"/>
          <w:b/>
          <w:sz w:val="20"/>
          <w:szCs w:val="20"/>
        </w:rPr>
        <w:t xml:space="preserve"> </w:t>
      </w:r>
      <w:r w:rsidR="004A55FE" w:rsidRPr="00C72ECC">
        <w:rPr>
          <w:rFonts w:ascii="Arial" w:hAnsi="Arial" w:cs="Arial"/>
          <w:b/>
          <w:sz w:val="20"/>
          <w:szCs w:val="20"/>
        </w:rPr>
        <w:t xml:space="preserve">nº 123/2006 deve ser analisada com base no valor global da licitação e não para cada item ou lote. Matéria controvertida e sob discussão no Incidente de Prejulgado n° 465761/17. Não caracterização de ilegalidade. </w:t>
      </w:r>
    </w:p>
    <w:p w14:paraId="593B1815" w14:textId="77777777" w:rsidR="004A55FE" w:rsidRPr="00931206" w:rsidRDefault="004A55FE" w:rsidP="00A4051D">
      <w:pPr>
        <w:autoSpaceDE w:val="0"/>
        <w:autoSpaceDN w:val="0"/>
        <w:adjustRightInd w:val="0"/>
        <w:spacing w:after="0"/>
        <w:jc w:val="both"/>
        <w:rPr>
          <w:rFonts w:ascii="Arial" w:hAnsi="Arial" w:cs="Arial"/>
          <w:sz w:val="20"/>
          <w:szCs w:val="20"/>
        </w:rPr>
      </w:pPr>
    </w:p>
    <w:p w14:paraId="4B17D00B" w14:textId="77777777" w:rsidR="004A55FE" w:rsidRPr="00F733AD" w:rsidRDefault="004A55FE" w:rsidP="00A4051D">
      <w:pPr>
        <w:autoSpaceDE w:val="0"/>
        <w:autoSpaceDN w:val="0"/>
        <w:adjustRightInd w:val="0"/>
        <w:spacing w:after="0"/>
        <w:jc w:val="both"/>
        <w:rPr>
          <w:rFonts w:ascii="Arial" w:hAnsi="Arial" w:cs="Arial"/>
          <w:sz w:val="20"/>
          <w:szCs w:val="20"/>
        </w:rPr>
      </w:pPr>
      <w:r w:rsidRPr="00F733AD">
        <w:rPr>
          <w:rFonts w:ascii="Arial" w:hAnsi="Arial" w:cs="Arial"/>
          <w:sz w:val="20"/>
          <w:szCs w:val="20"/>
        </w:rPr>
        <w:t>O entendimento aplicado pelo Município no certame se encontra em consonância com a interpretação literal do art. 48, I, da Lei Complementar nº 123/2006 e com a orientação exarada no Manual de Licitações deste Tribunal de Contas do Estado do Paraná, no sentido de que, nas licitações de objeto dividido em vários itens ou lotes, a incidência da regra da exclusividade da participação de Microempresas e Empresas de Pequeno Porte deve ser analisada com base no valor individual estimado para cada item ou lote.</w:t>
      </w:r>
    </w:p>
    <w:p w14:paraId="6B951DD8" w14:textId="77777777" w:rsidR="004A55FE" w:rsidRPr="00931206" w:rsidRDefault="004A55FE" w:rsidP="00A4051D">
      <w:pPr>
        <w:autoSpaceDE w:val="0"/>
        <w:autoSpaceDN w:val="0"/>
        <w:adjustRightInd w:val="0"/>
        <w:spacing w:after="0"/>
        <w:jc w:val="both"/>
        <w:rPr>
          <w:rFonts w:ascii="Arial" w:hAnsi="Arial" w:cs="Arial"/>
          <w:sz w:val="20"/>
          <w:szCs w:val="20"/>
        </w:rPr>
      </w:pPr>
    </w:p>
    <w:p w14:paraId="52A6DE3B" w14:textId="77777777" w:rsidR="004A55FE" w:rsidRPr="00F733AD" w:rsidRDefault="004A55FE" w:rsidP="00A4051D">
      <w:pPr>
        <w:autoSpaceDE w:val="0"/>
        <w:autoSpaceDN w:val="0"/>
        <w:adjustRightInd w:val="0"/>
        <w:spacing w:after="0"/>
        <w:jc w:val="both"/>
        <w:rPr>
          <w:rFonts w:ascii="Arial" w:hAnsi="Arial" w:cs="Arial"/>
          <w:sz w:val="20"/>
          <w:szCs w:val="20"/>
        </w:rPr>
      </w:pPr>
      <w:r w:rsidRPr="00F733AD">
        <w:rPr>
          <w:rFonts w:ascii="Arial" w:hAnsi="Arial" w:cs="Arial"/>
          <w:sz w:val="20"/>
          <w:szCs w:val="20"/>
        </w:rPr>
        <w:t>O próprio Tribunal Pleno desta Corte de Contas, reconheceu o caráter controvertido da matéria e a carência de precedentes jurisprudenciais sobre o tema, inclusive deste Tribunal de Contas.</w:t>
      </w:r>
    </w:p>
    <w:p w14:paraId="66A85386" w14:textId="77777777" w:rsidR="004A55FE" w:rsidRPr="00931206" w:rsidRDefault="004A55FE" w:rsidP="00A4051D">
      <w:pPr>
        <w:autoSpaceDE w:val="0"/>
        <w:autoSpaceDN w:val="0"/>
        <w:adjustRightInd w:val="0"/>
        <w:spacing w:after="0"/>
        <w:jc w:val="both"/>
        <w:rPr>
          <w:rFonts w:ascii="Arial" w:hAnsi="Arial" w:cs="Arial"/>
          <w:sz w:val="20"/>
          <w:szCs w:val="20"/>
        </w:rPr>
      </w:pPr>
    </w:p>
    <w:p w14:paraId="62993091" w14:textId="77777777" w:rsidR="004A55FE" w:rsidRPr="00F733AD" w:rsidRDefault="004A55FE" w:rsidP="00A4051D">
      <w:pPr>
        <w:autoSpaceDE w:val="0"/>
        <w:autoSpaceDN w:val="0"/>
        <w:adjustRightInd w:val="0"/>
        <w:spacing w:after="0"/>
        <w:jc w:val="both"/>
        <w:rPr>
          <w:rFonts w:ascii="Arial" w:hAnsi="Arial" w:cs="Arial"/>
          <w:sz w:val="20"/>
          <w:szCs w:val="20"/>
        </w:rPr>
      </w:pPr>
      <w:r w:rsidRPr="00F733AD">
        <w:rPr>
          <w:rFonts w:ascii="Arial" w:hAnsi="Arial" w:cs="Arial"/>
          <w:sz w:val="20"/>
          <w:szCs w:val="20"/>
        </w:rPr>
        <w:t>Por esse motivo, mesmo que esta Corte eventualmente passe a adotar o posicionamento defendido pela representante, de que o limite deveria ser aplicado ao valor global da licitação, os atos praticados com base na interpretação literal da lei, em princípio, deverão ser preservados, não havendo como se caracterizar a ofensa ao art. 48, I, da Lei Complementar nº 123/2006.</w:t>
      </w:r>
    </w:p>
    <w:p w14:paraId="4C92134F" w14:textId="77777777" w:rsidR="00A4051D" w:rsidRDefault="00A4051D" w:rsidP="00A4051D">
      <w:pPr>
        <w:autoSpaceDE w:val="0"/>
        <w:autoSpaceDN w:val="0"/>
        <w:adjustRightInd w:val="0"/>
        <w:spacing w:after="0"/>
        <w:jc w:val="both"/>
        <w:rPr>
          <w:rFonts w:ascii="Arial" w:hAnsi="Arial" w:cs="Arial"/>
          <w:sz w:val="20"/>
          <w:szCs w:val="20"/>
        </w:rPr>
      </w:pPr>
    </w:p>
    <w:p w14:paraId="29E9124E" w14:textId="33D6A559" w:rsidR="004A55FE" w:rsidRPr="00F733AD" w:rsidRDefault="004A55FE" w:rsidP="00A4051D">
      <w:pPr>
        <w:autoSpaceDE w:val="0"/>
        <w:autoSpaceDN w:val="0"/>
        <w:adjustRightInd w:val="0"/>
        <w:spacing w:after="0"/>
        <w:jc w:val="both"/>
        <w:rPr>
          <w:rFonts w:ascii="Arial" w:hAnsi="Arial" w:cs="Arial"/>
          <w:sz w:val="20"/>
          <w:szCs w:val="20"/>
        </w:rPr>
      </w:pPr>
      <w:r w:rsidRPr="00F733AD">
        <w:rPr>
          <w:rFonts w:ascii="Arial" w:hAnsi="Arial" w:cs="Arial"/>
          <w:sz w:val="20"/>
          <w:szCs w:val="20"/>
        </w:rPr>
        <w:t xml:space="preserve">Portanto, julga-se improcedente a representação neste ponto, entendendo-se, contudo, oportuna a emissão de recomendação para que o Município acompanhe o julgamento e adote a orientação que advirá do julgamento dos autos de Incidente de Prejulgado nº 465761/17 acerca da </w:t>
      </w:r>
      <w:r w:rsidRPr="00F733AD">
        <w:rPr>
          <w:rFonts w:ascii="Arial" w:hAnsi="Arial" w:cs="Arial"/>
          <w:sz w:val="20"/>
          <w:szCs w:val="20"/>
        </w:rPr>
        <w:lastRenderedPageBreak/>
        <w:t>participação em de microempresas (ME) e empresas de pequeno porte (EPP) sediadas local ou regionalmente.</w:t>
      </w:r>
    </w:p>
    <w:p w14:paraId="08536F86" w14:textId="77777777" w:rsidR="004A55FE" w:rsidRPr="008D462D" w:rsidRDefault="004A55FE" w:rsidP="00A4051D">
      <w:pPr>
        <w:autoSpaceDE w:val="0"/>
        <w:autoSpaceDN w:val="0"/>
        <w:adjustRightInd w:val="0"/>
        <w:spacing w:after="0"/>
        <w:jc w:val="both"/>
        <w:rPr>
          <w:rFonts w:ascii="Arial" w:hAnsi="Arial" w:cs="Arial"/>
          <w:b/>
          <w:sz w:val="20"/>
          <w:szCs w:val="20"/>
        </w:rPr>
      </w:pPr>
    </w:p>
    <w:p w14:paraId="03EA238D" w14:textId="77777777" w:rsidR="004A55FE" w:rsidRPr="0027567B" w:rsidRDefault="004A55FE" w:rsidP="00A4051D">
      <w:pPr>
        <w:autoSpaceDE w:val="0"/>
        <w:autoSpaceDN w:val="0"/>
        <w:adjustRightInd w:val="0"/>
        <w:spacing w:after="0"/>
        <w:jc w:val="both"/>
        <w:rPr>
          <w:rFonts w:ascii="Arial" w:hAnsi="Arial" w:cs="Arial"/>
          <w:sz w:val="20"/>
          <w:szCs w:val="20"/>
        </w:rPr>
      </w:pPr>
      <w:r w:rsidRPr="0027567B">
        <w:rPr>
          <w:rFonts w:ascii="Arial" w:hAnsi="Arial" w:cs="Arial"/>
          <w:sz w:val="20"/>
          <w:szCs w:val="20"/>
        </w:rPr>
        <w:t xml:space="preserve">Processo nº 442943/18– </w:t>
      </w:r>
      <w:hyperlink r:id="rId11" w:history="1">
        <w:r w:rsidRPr="0027567B">
          <w:rPr>
            <w:rStyle w:val="Hyperlink"/>
            <w:rFonts w:ascii="Arial" w:hAnsi="Arial" w:cs="Arial"/>
            <w:sz w:val="20"/>
            <w:szCs w:val="20"/>
          </w:rPr>
          <w:t>Acórdão nº 1772/19 – Tribunal Pleno-</w:t>
        </w:r>
      </w:hyperlink>
      <w:r w:rsidRPr="0027567B">
        <w:rPr>
          <w:rFonts w:ascii="Arial" w:hAnsi="Arial" w:cs="Arial"/>
          <w:sz w:val="20"/>
          <w:szCs w:val="20"/>
        </w:rPr>
        <w:t xml:space="preserve"> Relator Conselheiro Ivens </w:t>
      </w:r>
      <w:proofErr w:type="spellStart"/>
      <w:r w:rsidRPr="0027567B">
        <w:rPr>
          <w:rFonts w:ascii="Arial" w:hAnsi="Arial" w:cs="Arial"/>
          <w:sz w:val="20"/>
          <w:szCs w:val="20"/>
        </w:rPr>
        <w:t>Zschoerper</w:t>
      </w:r>
      <w:proofErr w:type="spellEnd"/>
      <w:r w:rsidRPr="0027567B">
        <w:rPr>
          <w:rFonts w:ascii="Arial" w:hAnsi="Arial" w:cs="Arial"/>
          <w:sz w:val="20"/>
          <w:szCs w:val="20"/>
        </w:rPr>
        <w:t xml:space="preserve"> Linhares.</w:t>
      </w:r>
    </w:p>
    <w:p w14:paraId="5E9CFD7F" w14:textId="69A6ADE7" w:rsidR="00415D4A" w:rsidRDefault="00415D4A" w:rsidP="00A4051D">
      <w:pPr>
        <w:autoSpaceDE w:val="0"/>
        <w:autoSpaceDN w:val="0"/>
        <w:adjustRightInd w:val="0"/>
        <w:spacing w:after="0"/>
        <w:jc w:val="both"/>
        <w:rPr>
          <w:rFonts w:ascii="Arial" w:hAnsi="Arial" w:cs="Arial"/>
          <w:sz w:val="20"/>
          <w:szCs w:val="20"/>
        </w:rPr>
      </w:pPr>
    </w:p>
    <w:p w14:paraId="75BC5914" w14:textId="44CC883C" w:rsidR="004A55FE" w:rsidRDefault="00931206" w:rsidP="00A4051D">
      <w:pPr>
        <w:autoSpaceDE w:val="0"/>
        <w:autoSpaceDN w:val="0"/>
        <w:adjustRightInd w:val="0"/>
        <w:spacing w:after="0"/>
        <w:jc w:val="both"/>
        <w:rPr>
          <w:rFonts w:ascii="Arial" w:hAnsi="Arial" w:cs="Arial"/>
          <w:b/>
          <w:sz w:val="20"/>
          <w:szCs w:val="20"/>
        </w:rPr>
      </w:pPr>
      <w:r>
        <w:rPr>
          <w:rFonts w:ascii="Arial" w:hAnsi="Arial" w:cs="Arial"/>
          <w:b/>
          <w:sz w:val="20"/>
          <w:szCs w:val="20"/>
        </w:rPr>
        <w:t>5</w:t>
      </w:r>
      <w:r w:rsidR="004A55FE" w:rsidRPr="00230603">
        <w:rPr>
          <w:rFonts w:ascii="Arial" w:hAnsi="Arial" w:cs="Arial"/>
          <w:b/>
          <w:sz w:val="20"/>
          <w:szCs w:val="20"/>
        </w:rPr>
        <w:t xml:space="preserve">. </w:t>
      </w:r>
      <w:r w:rsidR="004A55FE">
        <w:rPr>
          <w:rFonts w:ascii="Arial" w:hAnsi="Arial" w:cs="Arial"/>
          <w:b/>
          <w:sz w:val="20"/>
          <w:szCs w:val="20"/>
        </w:rPr>
        <w:t xml:space="preserve">Embargos de Declaração. Consulta. Acórdão nº 1.393/19/TP. Banco de Preços em Saúde. Omissão Conhecimento e provimento. </w:t>
      </w:r>
    </w:p>
    <w:p w14:paraId="55B23C7D" w14:textId="77777777" w:rsidR="004A55FE" w:rsidRPr="00931206" w:rsidRDefault="004A55FE" w:rsidP="00A4051D">
      <w:pPr>
        <w:autoSpaceDE w:val="0"/>
        <w:autoSpaceDN w:val="0"/>
        <w:adjustRightInd w:val="0"/>
        <w:spacing w:after="0"/>
        <w:jc w:val="both"/>
        <w:rPr>
          <w:rFonts w:ascii="Arial" w:hAnsi="Arial" w:cs="Arial"/>
          <w:sz w:val="20"/>
          <w:szCs w:val="20"/>
        </w:rPr>
      </w:pPr>
    </w:p>
    <w:p w14:paraId="31C77ABA" w14:textId="77777777" w:rsidR="004A55FE" w:rsidRPr="00F7679C" w:rsidRDefault="004A55FE" w:rsidP="00A4051D">
      <w:pPr>
        <w:autoSpaceDE w:val="0"/>
        <w:autoSpaceDN w:val="0"/>
        <w:adjustRightInd w:val="0"/>
        <w:spacing w:after="0"/>
        <w:jc w:val="both"/>
        <w:rPr>
          <w:rFonts w:ascii="Arial" w:hAnsi="Arial" w:cs="Arial"/>
          <w:sz w:val="20"/>
          <w:szCs w:val="20"/>
        </w:rPr>
      </w:pPr>
      <w:r w:rsidRPr="00F7679C">
        <w:rPr>
          <w:rFonts w:ascii="Arial" w:hAnsi="Arial" w:cs="Arial"/>
          <w:sz w:val="20"/>
          <w:szCs w:val="20"/>
        </w:rPr>
        <w:t>De fato, em que pese haver respondido negativamente ao primeiro</w:t>
      </w:r>
      <w:r>
        <w:rPr>
          <w:rFonts w:ascii="Arial" w:hAnsi="Arial" w:cs="Arial"/>
          <w:sz w:val="20"/>
          <w:szCs w:val="20"/>
        </w:rPr>
        <w:t xml:space="preserve"> </w:t>
      </w:r>
      <w:r w:rsidRPr="00F7679C">
        <w:rPr>
          <w:rFonts w:ascii="Arial" w:hAnsi="Arial" w:cs="Arial"/>
          <w:sz w:val="20"/>
          <w:szCs w:val="20"/>
        </w:rPr>
        <w:t>questionamento relacionado à utilização dos valores registrados pelos Municípios no</w:t>
      </w:r>
      <w:r>
        <w:rPr>
          <w:rFonts w:ascii="Arial" w:hAnsi="Arial" w:cs="Arial"/>
          <w:sz w:val="20"/>
          <w:szCs w:val="20"/>
        </w:rPr>
        <w:t xml:space="preserve"> </w:t>
      </w:r>
      <w:r w:rsidRPr="00F7679C">
        <w:rPr>
          <w:rFonts w:ascii="Arial" w:hAnsi="Arial" w:cs="Arial"/>
          <w:sz w:val="20"/>
          <w:szCs w:val="20"/>
        </w:rPr>
        <w:t>Banco de Preços em Saúde como critério único para a formação de preço máximo,</w:t>
      </w:r>
      <w:r>
        <w:rPr>
          <w:rFonts w:ascii="Arial" w:hAnsi="Arial" w:cs="Arial"/>
          <w:sz w:val="20"/>
          <w:szCs w:val="20"/>
        </w:rPr>
        <w:t xml:space="preserve"> </w:t>
      </w:r>
      <w:r w:rsidRPr="00F7679C">
        <w:rPr>
          <w:rFonts w:ascii="Arial" w:hAnsi="Arial" w:cs="Arial"/>
          <w:sz w:val="20"/>
          <w:szCs w:val="20"/>
        </w:rPr>
        <w:t>restou omissa a decisão quanto ao critério a ser seguido na definição desse preço</w:t>
      </w:r>
      <w:r>
        <w:rPr>
          <w:rFonts w:ascii="Arial" w:hAnsi="Arial" w:cs="Arial"/>
          <w:sz w:val="20"/>
          <w:szCs w:val="20"/>
        </w:rPr>
        <w:t xml:space="preserve"> </w:t>
      </w:r>
      <w:r w:rsidRPr="00F7679C">
        <w:rPr>
          <w:rFonts w:ascii="Arial" w:hAnsi="Arial" w:cs="Arial"/>
          <w:sz w:val="20"/>
          <w:szCs w:val="20"/>
        </w:rPr>
        <w:t>de referência.</w:t>
      </w:r>
      <w:r>
        <w:rPr>
          <w:rFonts w:ascii="Arial" w:hAnsi="Arial" w:cs="Arial"/>
          <w:sz w:val="20"/>
          <w:szCs w:val="20"/>
        </w:rPr>
        <w:t xml:space="preserve"> </w:t>
      </w:r>
    </w:p>
    <w:p w14:paraId="4CBBF9F3" w14:textId="77777777" w:rsidR="004A55FE" w:rsidRDefault="004A55FE" w:rsidP="00A4051D">
      <w:pPr>
        <w:autoSpaceDE w:val="0"/>
        <w:autoSpaceDN w:val="0"/>
        <w:adjustRightInd w:val="0"/>
        <w:spacing w:after="0"/>
        <w:jc w:val="both"/>
        <w:rPr>
          <w:rFonts w:ascii="Arial" w:hAnsi="Arial" w:cs="Arial"/>
          <w:sz w:val="20"/>
          <w:szCs w:val="20"/>
        </w:rPr>
      </w:pPr>
    </w:p>
    <w:p w14:paraId="6270CAF3" w14:textId="77777777" w:rsidR="004A55FE" w:rsidRDefault="004A55FE" w:rsidP="00A4051D">
      <w:pPr>
        <w:autoSpaceDE w:val="0"/>
        <w:autoSpaceDN w:val="0"/>
        <w:adjustRightInd w:val="0"/>
        <w:spacing w:after="0"/>
        <w:jc w:val="both"/>
        <w:rPr>
          <w:rFonts w:ascii="Arial" w:hAnsi="Arial" w:cs="Arial"/>
          <w:sz w:val="20"/>
          <w:szCs w:val="20"/>
        </w:rPr>
      </w:pPr>
      <w:r w:rsidRPr="00F7679C">
        <w:rPr>
          <w:rFonts w:ascii="Arial" w:hAnsi="Arial" w:cs="Arial"/>
          <w:sz w:val="20"/>
          <w:szCs w:val="20"/>
        </w:rPr>
        <w:t>Neste sentido, uma vez que ficou decidido na resposta à Consulta</w:t>
      </w:r>
      <w:r>
        <w:rPr>
          <w:rFonts w:ascii="Arial" w:hAnsi="Arial" w:cs="Arial"/>
          <w:sz w:val="20"/>
          <w:szCs w:val="20"/>
        </w:rPr>
        <w:t xml:space="preserve"> </w:t>
      </w:r>
      <w:r w:rsidRPr="00F7679C">
        <w:rPr>
          <w:rFonts w:ascii="Arial" w:hAnsi="Arial" w:cs="Arial"/>
          <w:sz w:val="20"/>
          <w:szCs w:val="20"/>
        </w:rPr>
        <w:t>que o Banco de Preços em Saúde é de alimentação e consulta obrigatórias quando</w:t>
      </w:r>
      <w:r>
        <w:rPr>
          <w:rFonts w:ascii="Arial" w:hAnsi="Arial" w:cs="Arial"/>
          <w:sz w:val="20"/>
          <w:szCs w:val="20"/>
        </w:rPr>
        <w:t xml:space="preserve"> </w:t>
      </w:r>
      <w:r w:rsidRPr="00F7679C">
        <w:rPr>
          <w:rFonts w:ascii="Arial" w:hAnsi="Arial" w:cs="Arial"/>
          <w:sz w:val="20"/>
          <w:szCs w:val="20"/>
        </w:rPr>
        <w:t>da aquisição de medicamentos pelos jurisdicionados do Tribunal de Contas, o valor</w:t>
      </w:r>
      <w:r>
        <w:rPr>
          <w:rFonts w:ascii="Arial" w:hAnsi="Arial" w:cs="Arial"/>
          <w:sz w:val="20"/>
          <w:szCs w:val="20"/>
        </w:rPr>
        <w:t xml:space="preserve"> </w:t>
      </w:r>
      <w:r w:rsidRPr="00F7679C">
        <w:rPr>
          <w:rFonts w:ascii="Arial" w:hAnsi="Arial" w:cs="Arial"/>
          <w:sz w:val="20"/>
          <w:szCs w:val="20"/>
        </w:rPr>
        <w:t>da média ponderada constante do Banco de Preços em Saúde é o parâmetro lógico</w:t>
      </w:r>
      <w:r>
        <w:rPr>
          <w:rFonts w:ascii="Arial" w:hAnsi="Arial" w:cs="Arial"/>
          <w:sz w:val="20"/>
          <w:szCs w:val="20"/>
        </w:rPr>
        <w:t xml:space="preserve"> </w:t>
      </w:r>
      <w:r w:rsidRPr="00F7679C">
        <w:rPr>
          <w:rFonts w:ascii="Arial" w:hAnsi="Arial" w:cs="Arial"/>
          <w:sz w:val="20"/>
          <w:szCs w:val="20"/>
        </w:rPr>
        <w:t>a ser seguido na fixação do preço máximo nas compras de medicamentos pelo</w:t>
      </w:r>
      <w:r>
        <w:rPr>
          <w:rFonts w:ascii="Arial" w:hAnsi="Arial" w:cs="Arial"/>
          <w:sz w:val="20"/>
          <w:szCs w:val="20"/>
        </w:rPr>
        <w:t xml:space="preserve"> </w:t>
      </w:r>
      <w:r w:rsidRPr="00F7679C">
        <w:rPr>
          <w:rFonts w:ascii="Arial" w:hAnsi="Arial" w:cs="Arial"/>
          <w:sz w:val="20"/>
          <w:szCs w:val="20"/>
        </w:rPr>
        <w:t>Poder Público.</w:t>
      </w:r>
      <w:r>
        <w:rPr>
          <w:rFonts w:ascii="Arial" w:hAnsi="Arial" w:cs="Arial"/>
          <w:sz w:val="20"/>
          <w:szCs w:val="20"/>
        </w:rPr>
        <w:t xml:space="preserve"> </w:t>
      </w:r>
      <w:r w:rsidRPr="00F7679C">
        <w:rPr>
          <w:rFonts w:ascii="Arial" w:hAnsi="Arial" w:cs="Arial"/>
          <w:sz w:val="20"/>
          <w:szCs w:val="20"/>
        </w:rPr>
        <w:t>Assim, merecem provimento os Embargos de</w:t>
      </w:r>
      <w:r>
        <w:rPr>
          <w:rFonts w:ascii="Arial" w:hAnsi="Arial" w:cs="Arial"/>
          <w:sz w:val="20"/>
          <w:szCs w:val="20"/>
        </w:rPr>
        <w:t xml:space="preserve"> </w:t>
      </w:r>
      <w:r w:rsidRPr="00F7679C">
        <w:rPr>
          <w:rFonts w:ascii="Arial" w:hAnsi="Arial" w:cs="Arial"/>
          <w:sz w:val="20"/>
          <w:szCs w:val="20"/>
        </w:rPr>
        <w:t>Declaração opostos pelo Ministério Público de Contas no sentido de se sanar a</w:t>
      </w:r>
      <w:r>
        <w:rPr>
          <w:rFonts w:ascii="Arial" w:hAnsi="Arial" w:cs="Arial"/>
          <w:sz w:val="20"/>
          <w:szCs w:val="20"/>
        </w:rPr>
        <w:t xml:space="preserve"> </w:t>
      </w:r>
      <w:r w:rsidRPr="00F7679C">
        <w:rPr>
          <w:rFonts w:ascii="Arial" w:hAnsi="Arial" w:cs="Arial"/>
          <w:sz w:val="20"/>
          <w:szCs w:val="20"/>
        </w:rPr>
        <w:t>omissão contida no Acórdão embargado.</w:t>
      </w:r>
    </w:p>
    <w:p w14:paraId="1C26A6CB" w14:textId="77777777" w:rsidR="004A55FE" w:rsidRPr="00F7679C" w:rsidRDefault="004A55FE" w:rsidP="00A4051D">
      <w:pPr>
        <w:autoSpaceDE w:val="0"/>
        <w:autoSpaceDN w:val="0"/>
        <w:adjustRightInd w:val="0"/>
        <w:spacing w:after="0"/>
        <w:jc w:val="both"/>
        <w:rPr>
          <w:rFonts w:ascii="Arial" w:hAnsi="Arial" w:cs="Arial"/>
          <w:sz w:val="20"/>
          <w:szCs w:val="20"/>
        </w:rPr>
      </w:pPr>
    </w:p>
    <w:p w14:paraId="11D97D69" w14:textId="77777777" w:rsidR="004A55FE" w:rsidRDefault="004A55FE" w:rsidP="00A4051D">
      <w:pPr>
        <w:autoSpaceDE w:val="0"/>
        <w:autoSpaceDN w:val="0"/>
        <w:adjustRightInd w:val="0"/>
        <w:spacing w:after="0"/>
        <w:jc w:val="both"/>
        <w:rPr>
          <w:rFonts w:ascii="Arial" w:hAnsi="Arial" w:cs="Arial"/>
          <w:sz w:val="20"/>
          <w:szCs w:val="20"/>
        </w:rPr>
      </w:pPr>
      <w:r w:rsidRPr="00F7679C">
        <w:rPr>
          <w:rFonts w:ascii="Arial" w:hAnsi="Arial" w:cs="Arial"/>
          <w:sz w:val="20"/>
          <w:szCs w:val="20"/>
        </w:rPr>
        <w:t>Isso posto, pelo conhecimento e, no mérito, pelo provimento</w:t>
      </w:r>
      <w:r>
        <w:rPr>
          <w:rFonts w:ascii="Arial" w:hAnsi="Arial" w:cs="Arial"/>
          <w:sz w:val="20"/>
          <w:szCs w:val="20"/>
        </w:rPr>
        <w:t xml:space="preserve"> </w:t>
      </w:r>
      <w:r w:rsidRPr="00F7679C">
        <w:rPr>
          <w:rFonts w:ascii="Arial" w:hAnsi="Arial" w:cs="Arial"/>
          <w:sz w:val="20"/>
          <w:szCs w:val="20"/>
        </w:rPr>
        <w:t>dos Embargos de Declaração para que seja sanada a omissão na resposta dada por</w:t>
      </w:r>
      <w:r>
        <w:rPr>
          <w:rFonts w:ascii="Arial" w:hAnsi="Arial" w:cs="Arial"/>
          <w:sz w:val="20"/>
          <w:szCs w:val="20"/>
        </w:rPr>
        <w:t xml:space="preserve"> </w:t>
      </w:r>
      <w:r w:rsidRPr="00F7679C">
        <w:rPr>
          <w:rFonts w:ascii="Arial" w:hAnsi="Arial" w:cs="Arial"/>
          <w:sz w:val="20"/>
          <w:szCs w:val="20"/>
        </w:rPr>
        <w:t>meio do Acórdão nº 1.393/19 – Tribunal Pleno a Consulta formulada pelo Município</w:t>
      </w:r>
      <w:r>
        <w:rPr>
          <w:rFonts w:ascii="Arial" w:hAnsi="Arial" w:cs="Arial"/>
          <w:sz w:val="20"/>
          <w:szCs w:val="20"/>
        </w:rPr>
        <w:t xml:space="preserve"> </w:t>
      </w:r>
      <w:r w:rsidRPr="00F7679C">
        <w:rPr>
          <w:rFonts w:ascii="Arial" w:hAnsi="Arial" w:cs="Arial"/>
          <w:sz w:val="20"/>
          <w:szCs w:val="20"/>
        </w:rPr>
        <w:t>de Ortigueira, conforme destacado:</w:t>
      </w:r>
      <w:r>
        <w:rPr>
          <w:rFonts w:ascii="Arial" w:hAnsi="Arial" w:cs="Arial"/>
          <w:sz w:val="20"/>
          <w:szCs w:val="20"/>
        </w:rPr>
        <w:t xml:space="preserve"> </w:t>
      </w:r>
      <w:r w:rsidRPr="00F7679C">
        <w:rPr>
          <w:rFonts w:ascii="Arial" w:hAnsi="Arial" w:cs="Arial"/>
          <w:sz w:val="20"/>
          <w:szCs w:val="20"/>
        </w:rPr>
        <w:t>Além da obrigatória consulta ao Banco de Preços</w:t>
      </w:r>
      <w:r>
        <w:rPr>
          <w:rFonts w:ascii="Arial" w:hAnsi="Arial" w:cs="Arial"/>
          <w:sz w:val="20"/>
          <w:szCs w:val="20"/>
        </w:rPr>
        <w:t xml:space="preserve"> </w:t>
      </w:r>
      <w:r w:rsidRPr="00F7679C">
        <w:rPr>
          <w:rFonts w:ascii="Arial" w:hAnsi="Arial" w:cs="Arial"/>
          <w:sz w:val="20"/>
          <w:szCs w:val="20"/>
        </w:rPr>
        <w:t xml:space="preserve">em Saúde – BPS – </w:t>
      </w:r>
      <w:r w:rsidRPr="00931206">
        <w:rPr>
          <w:rFonts w:ascii="Arial" w:hAnsi="Arial" w:cs="Arial"/>
          <w:sz w:val="20"/>
          <w:szCs w:val="20"/>
        </w:rPr>
        <w:t xml:space="preserve">cujo parâmetro deverá ser o valor da média ponderada </w:t>
      </w:r>
      <w:r w:rsidRPr="00F7679C">
        <w:rPr>
          <w:rFonts w:ascii="Arial" w:hAnsi="Arial" w:cs="Arial"/>
          <w:sz w:val="20"/>
          <w:szCs w:val="20"/>
        </w:rPr>
        <w:t>- e a adoção do Código BR como identificador dos</w:t>
      </w:r>
      <w:r>
        <w:rPr>
          <w:rFonts w:ascii="Arial" w:hAnsi="Arial" w:cs="Arial"/>
          <w:sz w:val="20"/>
          <w:szCs w:val="20"/>
        </w:rPr>
        <w:t xml:space="preserve"> </w:t>
      </w:r>
      <w:r w:rsidRPr="00F7679C">
        <w:rPr>
          <w:rFonts w:ascii="Arial" w:hAnsi="Arial" w:cs="Arial"/>
          <w:sz w:val="20"/>
          <w:szCs w:val="20"/>
        </w:rPr>
        <w:t>medicamentos, devem ser consultadas outras fontes de pesquisa</w:t>
      </w:r>
      <w:r>
        <w:rPr>
          <w:rFonts w:ascii="Arial" w:hAnsi="Arial" w:cs="Arial"/>
          <w:sz w:val="20"/>
          <w:szCs w:val="20"/>
        </w:rPr>
        <w:t xml:space="preserve"> </w:t>
      </w:r>
      <w:r w:rsidRPr="00F7679C">
        <w:rPr>
          <w:rFonts w:ascii="Arial" w:hAnsi="Arial" w:cs="Arial"/>
          <w:sz w:val="20"/>
          <w:szCs w:val="20"/>
        </w:rPr>
        <w:t>para formação do preço de referência, como o COMPRASNET</w:t>
      </w:r>
      <w:r>
        <w:rPr>
          <w:rFonts w:ascii="Arial" w:hAnsi="Arial" w:cs="Arial"/>
          <w:sz w:val="20"/>
          <w:szCs w:val="20"/>
        </w:rPr>
        <w:t xml:space="preserve"> </w:t>
      </w:r>
      <w:r w:rsidRPr="00F7679C">
        <w:rPr>
          <w:rFonts w:ascii="Arial" w:hAnsi="Arial" w:cs="Arial"/>
          <w:sz w:val="20"/>
          <w:szCs w:val="20"/>
        </w:rPr>
        <w:t>(âmbito federal) e o COMPRASPARANA (âmbito estadual) e a</w:t>
      </w:r>
      <w:r>
        <w:rPr>
          <w:rFonts w:ascii="Arial" w:hAnsi="Arial" w:cs="Arial"/>
          <w:sz w:val="20"/>
          <w:szCs w:val="20"/>
        </w:rPr>
        <w:t xml:space="preserve"> </w:t>
      </w:r>
      <w:r w:rsidRPr="00F7679C">
        <w:rPr>
          <w:rFonts w:ascii="Arial" w:hAnsi="Arial" w:cs="Arial"/>
          <w:sz w:val="20"/>
          <w:szCs w:val="20"/>
        </w:rPr>
        <w:t>cotação direta a fornecedores. Há que se estabelecer uma cesta de</w:t>
      </w:r>
      <w:r>
        <w:rPr>
          <w:rFonts w:ascii="Arial" w:hAnsi="Arial" w:cs="Arial"/>
          <w:sz w:val="20"/>
          <w:szCs w:val="20"/>
        </w:rPr>
        <w:t xml:space="preserve"> </w:t>
      </w:r>
      <w:r w:rsidRPr="00F7679C">
        <w:rPr>
          <w:rFonts w:ascii="Arial" w:hAnsi="Arial" w:cs="Arial"/>
          <w:sz w:val="20"/>
          <w:szCs w:val="20"/>
        </w:rPr>
        <w:t>preços aceitáveis que deve ser analisada de forma crítica, em</w:t>
      </w:r>
      <w:r>
        <w:rPr>
          <w:rFonts w:ascii="Arial" w:hAnsi="Arial" w:cs="Arial"/>
          <w:sz w:val="20"/>
          <w:szCs w:val="20"/>
        </w:rPr>
        <w:t xml:space="preserve"> </w:t>
      </w:r>
      <w:r w:rsidRPr="00F7679C">
        <w:rPr>
          <w:rFonts w:ascii="Arial" w:hAnsi="Arial" w:cs="Arial"/>
          <w:sz w:val="20"/>
          <w:szCs w:val="20"/>
        </w:rPr>
        <w:t>especial quando houver grande variação entre os valores</w:t>
      </w:r>
      <w:r>
        <w:rPr>
          <w:rFonts w:ascii="Arial" w:hAnsi="Arial" w:cs="Arial"/>
          <w:sz w:val="20"/>
          <w:szCs w:val="20"/>
        </w:rPr>
        <w:t xml:space="preserve"> </w:t>
      </w:r>
      <w:r w:rsidRPr="00F7679C">
        <w:rPr>
          <w:rFonts w:ascii="Arial" w:hAnsi="Arial" w:cs="Arial"/>
          <w:sz w:val="20"/>
          <w:szCs w:val="20"/>
        </w:rPr>
        <w:t>apresentados. Todas as consultas realizadas devem constar</w:t>
      </w:r>
      <w:r>
        <w:rPr>
          <w:rFonts w:ascii="Arial" w:hAnsi="Arial" w:cs="Arial"/>
          <w:sz w:val="20"/>
          <w:szCs w:val="20"/>
        </w:rPr>
        <w:t xml:space="preserve"> </w:t>
      </w:r>
      <w:r w:rsidRPr="00F7679C">
        <w:rPr>
          <w:rFonts w:ascii="Arial" w:hAnsi="Arial" w:cs="Arial"/>
          <w:sz w:val="20"/>
          <w:szCs w:val="20"/>
        </w:rPr>
        <w:t>expressamente e de forma detalhada e justificada do procedimento</w:t>
      </w:r>
      <w:r>
        <w:rPr>
          <w:rFonts w:ascii="Arial" w:hAnsi="Arial" w:cs="Arial"/>
          <w:sz w:val="20"/>
          <w:szCs w:val="20"/>
        </w:rPr>
        <w:t xml:space="preserve"> </w:t>
      </w:r>
      <w:r w:rsidRPr="00F7679C">
        <w:rPr>
          <w:rFonts w:ascii="Arial" w:hAnsi="Arial" w:cs="Arial"/>
          <w:sz w:val="20"/>
          <w:szCs w:val="20"/>
        </w:rPr>
        <w:t>administrativo utilizado para a definição do preço de referência.</w:t>
      </w:r>
    </w:p>
    <w:p w14:paraId="5FACD971" w14:textId="77777777" w:rsidR="004A55FE" w:rsidRPr="00230603" w:rsidRDefault="004A55FE" w:rsidP="00A4051D">
      <w:pPr>
        <w:autoSpaceDE w:val="0"/>
        <w:autoSpaceDN w:val="0"/>
        <w:adjustRightInd w:val="0"/>
        <w:spacing w:after="0"/>
        <w:jc w:val="both"/>
        <w:rPr>
          <w:rFonts w:ascii="Arial" w:hAnsi="Arial" w:cs="Arial"/>
          <w:sz w:val="20"/>
          <w:szCs w:val="20"/>
        </w:rPr>
      </w:pPr>
    </w:p>
    <w:p w14:paraId="051EBC04" w14:textId="77777777" w:rsidR="004A55FE" w:rsidRPr="00230603" w:rsidRDefault="004A55FE" w:rsidP="00A4051D">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40212/19</w:t>
      </w:r>
      <w:r w:rsidRPr="00230603">
        <w:rPr>
          <w:rFonts w:ascii="Arial" w:hAnsi="Arial" w:cs="Arial"/>
          <w:sz w:val="20"/>
          <w:szCs w:val="20"/>
        </w:rPr>
        <w:t xml:space="preserve"> –</w:t>
      </w:r>
      <w:hyperlink r:id="rId12" w:history="1">
        <w:r w:rsidRPr="0081285B">
          <w:rPr>
            <w:rStyle w:val="Hyperlink"/>
            <w:rFonts w:ascii="Arial" w:hAnsi="Arial" w:cs="Arial"/>
            <w:sz w:val="20"/>
            <w:szCs w:val="20"/>
          </w:rPr>
          <w:t xml:space="preserve"> Acórdão nº 1857/19 – Tribunal Pleno</w:t>
        </w:r>
      </w:hyperlink>
      <w:r w:rsidRPr="00230603">
        <w:rPr>
          <w:rFonts w:ascii="Arial" w:hAnsi="Arial" w:cs="Arial"/>
          <w:sz w:val="20"/>
          <w:szCs w:val="20"/>
        </w:rPr>
        <w:t xml:space="preserve"> - Relator </w:t>
      </w:r>
      <w:r>
        <w:rPr>
          <w:rFonts w:ascii="Arial" w:hAnsi="Arial" w:cs="Arial"/>
          <w:sz w:val="20"/>
          <w:szCs w:val="20"/>
        </w:rPr>
        <w:t>Conselheiro Fabio de Souza Camargo</w:t>
      </w:r>
      <w:r w:rsidRPr="00230603">
        <w:rPr>
          <w:rFonts w:ascii="Arial" w:hAnsi="Arial" w:cs="Arial"/>
          <w:sz w:val="20"/>
          <w:szCs w:val="20"/>
        </w:rPr>
        <w:t>.</w:t>
      </w:r>
    </w:p>
    <w:p w14:paraId="071F9184" w14:textId="77777777" w:rsidR="004A55FE" w:rsidRDefault="004A55FE" w:rsidP="00A4051D">
      <w:pPr>
        <w:autoSpaceDE w:val="0"/>
        <w:autoSpaceDN w:val="0"/>
        <w:adjustRightInd w:val="0"/>
        <w:spacing w:after="0"/>
        <w:jc w:val="both"/>
        <w:rPr>
          <w:rFonts w:ascii="Arial" w:hAnsi="Arial" w:cs="Arial"/>
          <w:sz w:val="20"/>
          <w:szCs w:val="20"/>
        </w:rPr>
      </w:pPr>
    </w:p>
    <w:p w14:paraId="611E20EF" w14:textId="2B8D3271" w:rsidR="004A55FE" w:rsidRDefault="00931206" w:rsidP="00A4051D">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4A55FE" w:rsidRPr="00230603">
        <w:rPr>
          <w:rFonts w:ascii="Arial" w:hAnsi="Arial" w:cs="Arial"/>
          <w:b/>
          <w:sz w:val="20"/>
          <w:szCs w:val="20"/>
        </w:rPr>
        <w:t xml:space="preserve">. </w:t>
      </w:r>
      <w:r w:rsidR="004A55FE">
        <w:rPr>
          <w:rFonts w:ascii="Arial" w:hAnsi="Arial" w:cs="Arial"/>
          <w:b/>
          <w:sz w:val="20"/>
          <w:szCs w:val="20"/>
        </w:rPr>
        <w:t xml:space="preserve">Representação. </w:t>
      </w:r>
      <w:r w:rsidR="004A55FE" w:rsidRPr="00DD34B2">
        <w:rPr>
          <w:rFonts w:ascii="Arial" w:hAnsi="Arial" w:cs="Arial"/>
          <w:b/>
          <w:sz w:val="20"/>
          <w:szCs w:val="20"/>
        </w:rPr>
        <w:t xml:space="preserve">Supostas irregularidades na contratação de médicos plantonistas para a prestação de serviços de saúde no âmbito municipal. Alegação de terceirização irregular do serviço público de saúde. Contratação de empresas, por meio de Credenciamento, em cujo quadro societário figuram servidores do Município. Suposto excesso de carga horária de trabalho dos médicos contratados. Descumprimento parcial da Lei de </w:t>
      </w:r>
      <w:r w:rsidR="004A55FE" w:rsidRPr="00DD34B2">
        <w:rPr>
          <w:rFonts w:ascii="Arial" w:hAnsi="Arial" w:cs="Arial"/>
          <w:b/>
          <w:sz w:val="20"/>
          <w:szCs w:val="20"/>
        </w:rPr>
        <w:lastRenderedPageBreak/>
        <w:t>Transparência. Sobreposição de vínculos contratuais com empresas pertencentes aos mesmos sócios. Pela parcial procedência, afastando-se a aplicação de multa, com expedição de recomendações.</w:t>
      </w:r>
    </w:p>
    <w:p w14:paraId="5BE26290" w14:textId="77777777" w:rsidR="004A55FE" w:rsidRDefault="004A55FE" w:rsidP="00A4051D">
      <w:pPr>
        <w:autoSpaceDE w:val="0"/>
        <w:autoSpaceDN w:val="0"/>
        <w:adjustRightInd w:val="0"/>
        <w:spacing w:after="0"/>
        <w:jc w:val="both"/>
        <w:rPr>
          <w:rFonts w:ascii="Arial" w:hAnsi="Arial" w:cs="Arial"/>
          <w:sz w:val="20"/>
          <w:szCs w:val="20"/>
        </w:rPr>
      </w:pPr>
    </w:p>
    <w:p w14:paraId="16EC242D" w14:textId="77777777" w:rsidR="004A55FE" w:rsidRPr="0008613F" w:rsidRDefault="004A55FE" w:rsidP="00A4051D">
      <w:pPr>
        <w:autoSpaceDE w:val="0"/>
        <w:autoSpaceDN w:val="0"/>
        <w:adjustRightInd w:val="0"/>
        <w:spacing w:after="0"/>
        <w:jc w:val="both"/>
        <w:rPr>
          <w:rFonts w:ascii="Arial" w:hAnsi="Arial" w:cs="Arial"/>
          <w:sz w:val="20"/>
          <w:szCs w:val="20"/>
        </w:rPr>
      </w:pPr>
      <w:r>
        <w:rPr>
          <w:rFonts w:ascii="Arial" w:hAnsi="Arial" w:cs="Arial"/>
          <w:sz w:val="20"/>
          <w:szCs w:val="20"/>
        </w:rPr>
        <w:t>C</w:t>
      </w:r>
      <w:r w:rsidRPr="0008613F">
        <w:rPr>
          <w:rFonts w:ascii="Arial" w:hAnsi="Arial" w:cs="Arial"/>
          <w:sz w:val="20"/>
          <w:szCs w:val="20"/>
        </w:rPr>
        <w:t>onhecer a presente Representação, uma vez presentes os</w:t>
      </w:r>
      <w:r>
        <w:rPr>
          <w:rFonts w:ascii="Arial" w:hAnsi="Arial" w:cs="Arial"/>
          <w:sz w:val="20"/>
          <w:szCs w:val="20"/>
        </w:rPr>
        <w:t xml:space="preserve"> </w:t>
      </w:r>
      <w:r w:rsidRPr="0008613F">
        <w:rPr>
          <w:rFonts w:ascii="Arial" w:hAnsi="Arial" w:cs="Arial"/>
          <w:sz w:val="20"/>
          <w:szCs w:val="20"/>
        </w:rPr>
        <w:t xml:space="preserve">pressupostos de admissibilidade, e, no mérito, julgar seu objeto </w:t>
      </w:r>
      <w:r w:rsidRPr="00931206">
        <w:rPr>
          <w:rFonts w:ascii="Arial" w:hAnsi="Arial" w:cs="Arial"/>
          <w:sz w:val="20"/>
          <w:szCs w:val="20"/>
        </w:rPr>
        <w:t>parcialmente procedente</w:t>
      </w:r>
      <w:r w:rsidRPr="0008613F">
        <w:rPr>
          <w:rFonts w:ascii="Arial" w:hAnsi="Arial" w:cs="Arial"/>
          <w:sz w:val="20"/>
          <w:szCs w:val="20"/>
        </w:rPr>
        <w:t>, para reconhecer a irregularidade consistente no item 2.2, referente à</w:t>
      </w:r>
      <w:r>
        <w:rPr>
          <w:rFonts w:ascii="Arial" w:hAnsi="Arial" w:cs="Arial"/>
          <w:sz w:val="20"/>
          <w:szCs w:val="20"/>
        </w:rPr>
        <w:t xml:space="preserve"> </w:t>
      </w:r>
      <w:r w:rsidRPr="0008613F">
        <w:rPr>
          <w:rFonts w:ascii="Arial" w:hAnsi="Arial" w:cs="Arial"/>
          <w:sz w:val="20"/>
          <w:szCs w:val="20"/>
        </w:rPr>
        <w:t>contratação das empresas, nas quais figuravam como sócios servidores municipais, afastando-se,</w:t>
      </w:r>
      <w:r>
        <w:rPr>
          <w:rFonts w:ascii="Arial" w:hAnsi="Arial" w:cs="Arial"/>
          <w:sz w:val="20"/>
          <w:szCs w:val="20"/>
        </w:rPr>
        <w:t xml:space="preserve"> </w:t>
      </w:r>
      <w:r w:rsidRPr="0008613F">
        <w:rPr>
          <w:rFonts w:ascii="Arial" w:hAnsi="Arial" w:cs="Arial"/>
          <w:sz w:val="20"/>
          <w:szCs w:val="20"/>
        </w:rPr>
        <w:t>contudo, a aplicação da multa prevista no art. 87, inciso IV, alínea “g”, da Lei</w:t>
      </w:r>
      <w:r>
        <w:rPr>
          <w:rFonts w:ascii="Arial" w:hAnsi="Arial" w:cs="Arial"/>
          <w:sz w:val="20"/>
          <w:szCs w:val="20"/>
        </w:rPr>
        <w:t xml:space="preserve"> </w:t>
      </w:r>
      <w:r w:rsidRPr="0008613F">
        <w:rPr>
          <w:rFonts w:ascii="Arial" w:hAnsi="Arial" w:cs="Arial"/>
          <w:sz w:val="20"/>
          <w:szCs w:val="20"/>
        </w:rPr>
        <w:t>Orgânica, em razão da ausência de participação, na relação processual, do gestor</w:t>
      </w:r>
      <w:r>
        <w:rPr>
          <w:rFonts w:ascii="Arial" w:hAnsi="Arial" w:cs="Arial"/>
          <w:sz w:val="20"/>
          <w:szCs w:val="20"/>
        </w:rPr>
        <w:t xml:space="preserve"> </w:t>
      </w:r>
      <w:r w:rsidRPr="0008613F">
        <w:rPr>
          <w:rFonts w:ascii="Arial" w:hAnsi="Arial" w:cs="Arial"/>
          <w:sz w:val="20"/>
          <w:szCs w:val="20"/>
        </w:rPr>
        <w:t>responsável pela contratação;</w:t>
      </w:r>
    </w:p>
    <w:p w14:paraId="7C34A178" w14:textId="77777777" w:rsidR="004A55FE" w:rsidRDefault="004A55FE" w:rsidP="00A4051D">
      <w:pPr>
        <w:autoSpaceDE w:val="0"/>
        <w:autoSpaceDN w:val="0"/>
        <w:adjustRightInd w:val="0"/>
        <w:spacing w:after="0"/>
        <w:jc w:val="both"/>
        <w:rPr>
          <w:rFonts w:ascii="Arial" w:hAnsi="Arial" w:cs="Arial"/>
          <w:sz w:val="20"/>
          <w:szCs w:val="20"/>
        </w:rPr>
      </w:pPr>
    </w:p>
    <w:p w14:paraId="0A23719B" w14:textId="77777777" w:rsidR="004A55FE" w:rsidRDefault="004A55FE" w:rsidP="00A4051D">
      <w:pPr>
        <w:autoSpaceDE w:val="0"/>
        <w:autoSpaceDN w:val="0"/>
        <w:adjustRightInd w:val="0"/>
        <w:spacing w:after="0"/>
        <w:jc w:val="both"/>
        <w:rPr>
          <w:rFonts w:ascii="Arial" w:hAnsi="Arial" w:cs="Arial"/>
          <w:sz w:val="20"/>
          <w:szCs w:val="20"/>
        </w:rPr>
      </w:pPr>
      <w:r>
        <w:rPr>
          <w:rFonts w:ascii="Arial" w:hAnsi="Arial" w:cs="Arial"/>
          <w:sz w:val="20"/>
          <w:szCs w:val="20"/>
        </w:rPr>
        <w:t>D</w:t>
      </w:r>
      <w:r w:rsidRPr="0008613F">
        <w:rPr>
          <w:rFonts w:ascii="Arial" w:hAnsi="Arial" w:cs="Arial"/>
          <w:sz w:val="20"/>
          <w:szCs w:val="20"/>
        </w:rPr>
        <w:t xml:space="preserve">eterminar a expedição das seguintes </w:t>
      </w:r>
      <w:r w:rsidRPr="00931206">
        <w:rPr>
          <w:rFonts w:ascii="Arial" w:hAnsi="Arial" w:cs="Arial"/>
          <w:sz w:val="20"/>
          <w:szCs w:val="20"/>
        </w:rPr>
        <w:t xml:space="preserve">recomendações </w:t>
      </w:r>
      <w:r w:rsidRPr="0008613F">
        <w:rPr>
          <w:rFonts w:ascii="Arial" w:hAnsi="Arial" w:cs="Arial"/>
          <w:sz w:val="20"/>
          <w:szCs w:val="20"/>
        </w:rPr>
        <w:t>ao</w:t>
      </w:r>
      <w:r>
        <w:rPr>
          <w:rFonts w:ascii="Arial" w:hAnsi="Arial" w:cs="Arial"/>
          <w:sz w:val="20"/>
          <w:szCs w:val="20"/>
        </w:rPr>
        <w:t xml:space="preserve"> </w:t>
      </w:r>
      <w:r w:rsidRPr="0008613F">
        <w:rPr>
          <w:rFonts w:ascii="Arial" w:hAnsi="Arial" w:cs="Arial"/>
          <w:sz w:val="20"/>
          <w:szCs w:val="20"/>
        </w:rPr>
        <w:t>Município</w:t>
      </w:r>
      <w:r>
        <w:rPr>
          <w:rFonts w:ascii="Arial" w:hAnsi="Arial" w:cs="Arial"/>
          <w:sz w:val="20"/>
          <w:szCs w:val="20"/>
        </w:rPr>
        <w:t>,</w:t>
      </w:r>
      <w:r w:rsidRPr="0008613F">
        <w:rPr>
          <w:rFonts w:ascii="Arial" w:hAnsi="Arial" w:cs="Arial"/>
          <w:sz w:val="20"/>
          <w:szCs w:val="20"/>
        </w:rPr>
        <w:t xml:space="preserve"> na pessoa do atual gestor:</w:t>
      </w:r>
    </w:p>
    <w:p w14:paraId="0CCA0846" w14:textId="77777777" w:rsidR="004A55FE" w:rsidRPr="0008613F" w:rsidRDefault="004A55FE" w:rsidP="00A4051D">
      <w:pPr>
        <w:autoSpaceDE w:val="0"/>
        <w:autoSpaceDN w:val="0"/>
        <w:adjustRightInd w:val="0"/>
        <w:spacing w:after="0"/>
        <w:jc w:val="both"/>
        <w:rPr>
          <w:rFonts w:ascii="Arial" w:hAnsi="Arial" w:cs="Arial"/>
          <w:sz w:val="20"/>
          <w:szCs w:val="20"/>
        </w:rPr>
      </w:pPr>
    </w:p>
    <w:p w14:paraId="3DAC2B6A" w14:textId="77777777" w:rsidR="004A55FE" w:rsidRPr="0008613F" w:rsidRDefault="004A55FE" w:rsidP="00A4051D">
      <w:pPr>
        <w:autoSpaceDE w:val="0"/>
        <w:autoSpaceDN w:val="0"/>
        <w:adjustRightInd w:val="0"/>
        <w:spacing w:after="0"/>
        <w:jc w:val="both"/>
        <w:rPr>
          <w:rFonts w:ascii="Arial" w:hAnsi="Arial" w:cs="Arial"/>
          <w:sz w:val="20"/>
          <w:szCs w:val="20"/>
        </w:rPr>
      </w:pPr>
      <w:r w:rsidRPr="0008613F">
        <w:rPr>
          <w:rFonts w:ascii="Arial" w:hAnsi="Arial" w:cs="Arial"/>
          <w:sz w:val="20"/>
          <w:szCs w:val="20"/>
        </w:rPr>
        <w:t>i) continue realizando concursos públicos para provimento dos</w:t>
      </w:r>
      <w:r>
        <w:rPr>
          <w:rFonts w:ascii="Arial" w:hAnsi="Arial" w:cs="Arial"/>
          <w:sz w:val="20"/>
          <w:szCs w:val="20"/>
        </w:rPr>
        <w:t xml:space="preserve"> </w:t>
      </w:r>
      <w:r w:rsidRPr="0008613F">
        <w:rPr>
          <w:rFonts w:ascii="Arial" w:hAnsi="Arial" w:cs="Arial"/>
          <w:sz w:val="20"/>
          <w:szCs w:val="20"/>
        </w:rPr>
        <w:t>cargos efetivos de médico, utilizando-se dos serviços da iniciativa</w:t>
      </w:r>
      <w:r>
        <w:rPr>
          <w:rFonts w:ascii="Arial" w:hAnsi="Arial" w:cs="Arial"/>
          <w:sz w:val="20"/>
          <w:szCs w:val="20"/>
        </w:rPr>
        <w:t xml:space="preserve"> </w:t>
      </w:r>
      <w:r w:rsidRPr="0008613F">
        <w:rPr>
          <w:rFonts w:ascii="Arial" w:hAnsi="Arial" w:cs="Arial"/>
          <w:sz w:val="20"/>
          <w:szCs w:val="20"/>
        </w:rPr>
        <w:t>privada apenas em caráter complementar, para que não haja mera</w:t>
      </w:r>
      <w:r>
        <w:rPr>
          <w:rFonts w:ascii="Arial" w:hAnsi="Arial" w:cs="Arial"/>
          <w:sz w:val="20"/>
          <w:szCs w:val="20"/>
        </w:rPr>
        <w:t xml:space="preserve"> </w:t>
      </w:r>
      <w:r w:rsidRPr="0008613F">
        <w:rPr>
          <w:rFonts w:ascii="Arial" w:hAnsi="Arial" w:cs="Arial"/>
          <w:sz w:val="20"/>
          <w:szCs w:val="20"/>
        </w:rPr>
        <w:t>substituição da atuação do poder público;</w:t>
      </w:r>
    </w:p>
    <w:p w14:paraId="110A4E03" w14:textId="77777777" w:rsidR="004A55FE" w:rsidRPr="0008613F" w:rsidRDefault="004A55FE" w:rsidP="00A4051D">
      <w:pPr>
        <w:autoSpaceDE w:val="0"/>
        <w:autoSpaceDN w:val="0"/>
        <w:adjustRightInd w:val="0"/>
        <w:spacing w:after="0"/>
        <w:jc w:val="both"/>
        <w:rPr>
          <w:rFonts w:ascii="Arial" w:hAnsi="Arial" w:cs="Arial"/>
          <w:sz w:val="20"/>
          <w:szCs w:val="20"/>
        </w:rPr>
      </w:pPr>
      <w:proofErr w:type="spellStart"/>
      <w:r w:rsidRPr="0008613F">
        <w:rPr>
          <w:rFonts w:ascii="Arial" w:hAnsi="Arial" w:cs="Arial"/>
          <w:sz w:val="20"/>
          <w:szCs w:val="20"/>
        </w:rPr>
        <w:t>ii</w:t>
      </w:r>
      <w:proofErr w:type="spellEnd"/>
      <w:r w:rsidRPr="0008613F">
        <w:rPr>
          <w:rFonts w:ascii="Arial" w:hAnsi="Arial" w:cs="Arial"/>
          <w:sz w:val="20"/>
          <w:szCs w:val="20"/>
        </w:rPr>
        <w:t>) abstenha-se de contratar empresas que possuam servidores</w:t>
      </w:r>
      <w:r>
        <w:rPr>
          <w:rFonts w:ascii="Arial" w:hAnsi="Arial" w:cs="Arial"/>
          <w:sz w:val="20"/>
          <w:szCs w:val="20"/>
        </w:rPr>
        <w:t xml:space="preserve"> </w:t>
      </w:r>
      <w:r w:rsidRPr="0008613F">
        <w:rPr>
          <w:rFonts w:ascii="Arial" w:hAnsi="Arial" w:cs="Arial"/>
          <w:sz w:val="20"/>
          <w:szCs w:val="20"/>
        </w:rPr>
        <w:t>municipais em seu quadro societário, excluindo, contudo, a</w:t>
      </w:r>
      <w:r>
        <w:rPr>
          <w:rFonts w:ascii="Arial" w:hAnsi="Arial" w:cs="Arial"/>
          <w:sz w:val="20"/>
          <w:szCs w:val="20"/>
        </w:rPr>
        <w:t xml:space="preserve"> </w:t>
      </w:r>
      <w:r w:rsidRPr="0008613F">
        <w:rPr>
          <w:rFonts w:ascii="Arial" w:hAnsi="Arial" w:cs="Arial"/>
          <w:sz w:val="20"/>
          <w:szCs w:val="20"/>
        </w:rPr>
        <w:t>referência à proibição de contratação com servidores públicos</w:t>
      </w:r>
      <w:r>
        <w:rPr>
          <w:rFonts w:ascii="Arial" w:hAnsi="Arial" w:cs="Arial"/>
          <w:sz w:val="20"/>
          <w:szCs w:val="20"/>
        </w:rPr>
        <w:t xml:space="preserve"> </w:t>
      </w:r>
      <w:r w:rsidRPr="0008613F">
        <w:rPr>
          <w:rFonts w:ascii="Arial" w:hAnsi="Arial" w:cs="Arial"/>
          <w:sz w:val="20"/>
          <w:szCs w:val="20"/>
        </w:rPr>
        <w:t>pertencentes ao quadro funcional de outros entes federativos, na</w:t>
      </w:r>
      <w:r>
        <w:rPr>
          <w:rFonts w:ascii="Arial" w:hAnsi="Arial" w:cs="Arial"/>
          <w:sz w:val="20"/>
          <w:szCs w:val="20"/>
        </w:rPr>
        <w:t xml:space="preserve"> </w:t>
      </w:r>
      <w:r w:rsidRPr="0008613F">
        <w:rPr>
          <w:rFonts w:ascii="Arial" w:hAnsi="Arial" w:cs="Arial"/>
          <w:sz w:val="20"/>
          <w:szCs w:val="20"/>
        </w:rPr>
        <w:t>declaração que – segundo informado à peça nº 41 - passou a ser</w:t>
      </w:r>
      <w:r>
        <w:rPr>
          <w:rFonts w:ascii="Arial" w:hAnsi="Arial" w:cs="Arial"/>
          <w:sz w:val="20"/>
          <w:szCs w:val="20"/>
        </w:rPr>
        <w:t xml:space="preserve"> </w:t>
      </w:r>
      <w:r w:rsidRPr="0008613F">
        <w:rPr>
          <w:rFonts w:ascii="Arial" w:hAnsi="Arial" w:cs="Arial"/>
          <w:sz w:val="20"/>
          <w:szCs w:val="20"/>
        </w:rPr>
        <w:t>exigida no processo de credenciamento;</w:t>
      </w:r>
    </w:p>
    <w:p w14:paraId="535F8E06" w14:textId="77777777" w:rsidR="004A55FE" w:rsidRPr="0008613F" w:rsidRDefault="004A55FE" w:rsidP="00A4051D">
      <w:pPr>
        <w:autoSpaceDE w:val="0"/>
        <w:autoSpaceDN w:val="0"/>
        <w:adjustRightInd w:val="0"/>
        <w:spacing w:after="0"/>
        <w:jc w:val="both"/>
        <w:rPr>
          <w:rFonts w:ascii="Arial" w:hAnsi="Arial" w:cs="Arial"/>
          <w:sz w:val="20"/>
          <w:szCs w:val="20"/>
        </w:rPr>
      </w:pPr>
      <w:proofErr w:type="spellStart"/>
      <w:r w:rsidRPr="0008613F">
        <w:rPr>
          <w:rFonts w:ascii="Arial" w:hAnsi="Arial" w:cs="Arial"/>
          <w:sz w:val="20"/>
          <w:szCs w:val="20"/>
        </w:rPr>
        <w:t>iii</w:t>
      </w:r>
      <w:proofErr w:type="spellEnd"/>
      <w:r w:rsidRPr="0008613F">
        <w:rPr>
          <w:rFonts w:ascii="Arial" w:hAnsi="Arial" w:cs="Arial"/>
          <w:sz w:val="20"/>
          <w:szCs w:val="20"/>
        </w:rPr>
        <w:t>) exclua a referência à limitação da jornada de trabalho a 60 horas</w:t>
      </w:r>
      <w:r>
        <w:rPr>
          <w:rFonts w:ascii="Arial" w:hAnsi="Arial" w:cs="Arial"/>
          <w:sz w:val="20"/>
          <w:szCs w:val="20"/>
        </w:rPr>
        <w:t xml:space="preserve"> </w:t>
      </w:r>
      <w:r w:rsidRPr="0008613F">
        <w:rPr>
          <w:rFonts w:ascii="Arial" w:hAnsi="Arial" w:cs="Arial"/>
          <w:sz w:val="20"/>
          <w:szCs w:val="20"/>
        </w:rPr>
        <w:t>semanais, na declaração que – segundo informado à peça nº 41</w:t>
      </w:r>
      <w:r>
        <w:rPr>
          <w:rFonts w:ascii="Arial" w:hAnsi="Arial" w:cs="Arial"/>
          <w:sz w:val="20"/>
          <w:szCs w:val="20"/>
        </w:rPr>
        <w:t xml:space="preserve"> </w:t>
      </w:r>
      <w:r w:rsidRPr="0008613F">
        <w:rPr>
          <w:rFonts w:ascii="Arial" w:hAnsi="Arial" w:cs="Arial"/>
          <w:sz w:val="20"/>
          <w:szCs w:val="20"/>
        </w:rPr>
        <w:t>-</w:t>
      </w:r>
      <w:r>
        <w:rPr>
          <w:rFonts w:ascii="Arial" w:hAnsi="Arial" w:cs="Arial"/>
          <w:sz w:val="20"/>
          <w:szCs w:val="20"/>
        </w:rPr>
        <w:t xml:space="preserve"> </w:t>
      </w:r>
      <w:r w:rsidRPr="0008613F">
        <w:rPr>
          <w:rFonts w:ascii="Arial" w:hAnsi="Arial" w:cs="Arial"/>
          <w:sz w:val="20"/>
          <w:szCs w:val="20"/>
        </w:rPr>
        <w:t>passou a ser exigida no processo de credenciamento, exceto se</w:t>
      </w:r>
      <w:r>
        <w:rPr>
          <w:rFonts w:ascii="Arial" w:hAnsi="Arial" w:cs="Arial"/>
          <w:sz w:val="20"/>
          <w:szCs w:val="20"/>
        </w:rPr>
        <w:t xml:space="preserve"> </w:t>
      </w:r>
      <w:r w:rsidRPr="0008613F">
        <w:rPr>
          <w:rFonts w:ascii="Arial" w:hAnsi="Arial" w:cs="Arial"/>
          <w:sz w:val="20"/>
          <w:szCs w:val="20"/>
        </w:rPr>
        <w:t>houver outro motivo para sua manutenção;</w:t>
      </w:r>
    </w:p>
    <w:p w14:paraId="13D85A38" w14:textId="77777777" w:rsidR="004A55FE" w:rsidRPr="00931206" w:rsidRDefault="004A55FE" w:rsidP="00A4051D">
      <w:pPr>
        <w:autoSpaceDE w:val="0"/>
        <w:autoSpaceDN w:val="0"/>
        <w:adjustRightInd w:val="0"/>
        <w:spacing w:after="0"/>
        <w:jc w:val="both"/>
        <w:rPr>
          <w:rFonts w:ascii="Arial" w:hAnsi="Arial" w:cs="Arial"/>
          <w:sz w:val="20"/>
          <w:szCs w:val="20"/>
        </w:rPr>
      </w:pPr>
      <w:proofErr w:type="spellStart"/>
      <w:r w:rsidRPr="0008613F">
        <w:rPr>
          <w:rFonts w:ascii="Arial" w:hAnsi="Arial" w:cs="Arial"/>
          <w:sz w:val="20"/>
          <w:szCs w:val="20"/>
        </w:rPr>
        <w:t>iv</w:t>
      </w:r>
      <w:proofErr w:type="spellEnd"/>
      <w:r w:rsidRPr="0008613F">
        <w:rPr>
          <w:rFonts w:ascii="Arial" w:hAnsi="Arial" w:cs="Arial"/>
          <w:sz w:val="20"/>
          <w:szCs w:val="20"/>
        </w:rPr>
        <w:t>) passe a utilizar metodologia de controle de horário e efetiva</w:t>
      </w:r>
      <w:r>
        <w:rPr>
          <w:rFonts w:ascii="Arial" w:hAnsi="Arial" w:cs="Arial"/>
          <w:sz w:val="20"/>
          <w:szCs w:val="20"/>
        </w:rPr>
        <w:t xml:space="preserve"> </w:t>
      </w:r>
      <w:r w:rsidRPr="0008613F">
        <w:rPr>
          <w:rFonts w:ascii="Arial" w:hAnsi="Arial" w:cs="Arial"/>
          <w:sz w:val="20"/>
          <w:szCs w:val="20"/>
        </w:rPr>
        <w:t>fiscalização do serviço prestado pelos médicos credenciados, de</w:t>
      </w:r>
      <w:r>
        <w:rPr>
          <w:rFonts w:ascii="Arial" w:hAnsi="Arial" w:cs="Arial"/>
          <w:sz w:val="20"/>
          <w:szCs w:val="20"/>
        </w:rPr>
        <w:t xml:space="preserve"> </w:t>
      </w:r>
      <w:r w:rsidRPr="0008613F">
        <w:rPr>
          <w:rFonts w:ascii="Arial" w:hAnsi="Arial" w:cs="Arial"/>
          <w:sz w:val="20"/>
          <w:szCs w:val="20"/>
        </w:rPr>
        <w:t>forma a assegurar o cumprimento da carga horária contratada;</w:t>
      </w:r>
    </w:p>
    <w:p w14:paraId="6E09C83E" w14:textId="77777777" w:rsidR="004A55FE" w:rsidRDefault="004A55FE" w:rsidP="00A4051D">
      <w:pPr>
        <w:autoSpaceDE w:val="0"/>
        <w:autoSpaceDN w:val="0"/>
        <w:adjustRightInd w:val="0"/>
        <w:spacing w:after="0"/>
        <w:jc w:val="both"/>
        <w:rPr>
          <w:rFonts w:ascii="Arial" w:hAnsi="Arial" w:cs="Arial"/>
          <w:b/>
          <w:sz w:val="20"/>
          <w:szCs w:val="20"/>
        </w:rPr>
      </w:pPr>
    </w:p>
    <w:p w14:paraId="0853F1AE" w14:textId="77777777" w:rsidR="004A55FE" w:rsidRPr="00230603" w:rsidRDefault="004A55FE" w:rsidP="00A4051D">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472702/18</w:t>
      </w:r>
      <w:r w:rsidRPr="00230603">
        <w:rPr>
          <w:rFonts w:ascii="Arial" w:hAnsi="Arial" w:cs="Arial"/>
          <w:sz w:val="20"/>
          <w:szCs w:val="20"/>
        </w:rPr>
        <w:t xml:space="preserve"> – </w:t>
      </w:r>
      <w:hyperlink r:id="rId13" w:history="1">
        <w:r w:rsidRPr="00230603">
          <w:rPr>
            <w:rStyle w:val="Hyperlink"/>
            <w:rFonts w:ascii="Arial" w:hAnsi="Arial" w:cs="Arial"/>
            <w:sz w:val="20"/>
            <w:szCs w:val="20"/>
          </w:rPr>
          <w:t>Acórdão nº 1</w:t>
        </w:r>
        <w:r>
          <w:rPr>
            <w:rStyle w:val="Hyperlink"/>
            <w:rFonts w:ascii="Arial" w:hAnsi="Arial" w:cs="Arial"/>
            <w:sz w:val="20"/>
            <w:szCs w:val="20"/>
          </w:rPr>
          <w:t>871</w:t>
        </w:r>
        <w:r w:rsidRPr="00230603">
          <w:rPr>
            <w:rStyle w:val="Hyperlink"/>
            <w:rFonts w:ascii="Arial" w:hAnsi="Arial" w:cs="Arial"/>
            <w:sz w:val="20"/>
            <w:szCs w:val="20"/>
          </w:rPr>
          <w:t xml:space="preserve">/19 – </w:t>
        </w:r>
        <w:r>
          <w:rPr>
            <w:rStyle w:val="Hyperlink"/>
            <w:rFonts w:ascii="Arial" w:hAnsi="Arial" w:cs="Arial"/>
            <w:sz w:val="20"/>
            <w:szCs w:val="20"/>
          </w:rPr>
          <w:t>Tribunal Pleno</w:t>
        </w:r>
      </w:hyperlink>
      <w:r w:rsidRPr="00230603">
        <w:rPr>
          <w:rFonts w:ascii="Arial" w:hAnsi="Arial" w:cs="Arial"/>
          <w:sz w:val="20"/>
          <w:szCs w:val="20"/>
        </w:rPr>
        <w:t xml:space="preserve"> - Relator </w:t>
      </w:r>
      <w:r>
        <w:rPr>
          <w:rFonts w:ascii="Arial" w:hAnsi="Arial" w:cs="Arial"/>
          <w:sz w:val="20"/>
          <w:szCs w:val="20"/>
        </w:rPr>
        <w:t xml:space="preserve">Conselheiro Ivens </w:t>
      </w:r>
      <w:proofErr w:type="spellStart"/>
      <w:r>
        <w:rPr>
          <w:rFonts w:ascii="Arial" w:hAnsi="Arial" w:cs="Arial"/>
          <w:sz w:val="20"/>
          <w:szCs w:val="20"/>
        </w:rPr>
        <w:t>Zschoerper</w:t>
      </w:r>
      <w:proofErr w:type="spellEnd"/>
      <w:r>
        <w:rPr>
          <w:rFonts w:ascii="Arial" w:hAnsi="Arial" w:cs="Arial"/>
          <w:sz w:val="20"/>
          <w:szCs w:val="20"/>
        </w:rPr>
        <w:t xml:space="preserve"> Linhares.</w:t>
      </w:r>
    </w:p>
    <w:p w14:paraId="176B5D21" w14:textId="77777777" w:rsidR="004A55FE" w:rsidRDefault="004A55FE" w:rsidP="00A4051D">
      <w:pPr>
        <w:autoSpaceDE w:val="0"/>
        <w:autoSpaceDN w:val="0"/>
        <w:adjustRightInd w:val="0"/>
        <w:spacing w:after="0"/>
        <w:rPr>
          <w:rFonts w:ascii="Arial" w:hAnsi="Arial" w:cs="Arial"/>
          <w:sz w:val="20"/>
          <w:szCs w:val="20"/>
        </w:rPr>
      </w:pPr>
    </w:p>
    <w:p w14:paraId="0CE08851" w14:textId="77777777" w:rsidR="004A55FE" w:rsidRDefault="004A55FE" w:rsidP="00A4051D">
      <w:pPr>
        <w:autoSpaceDE w:val="0"/>
        <w:autoSpaceDN w:val="0"/>
        <w:adjustRightInd w:val="0"/>
        <w:spacing w:after="0"/>
        <w:jc w:val="both"/>
        <w:rPr>
          <w:rFonts w:ascii="Arial" w:hAnsi="Arial" w:cs="Arial"/>
          <w:b/>
          <w:sz w:val="20"/>
          <w:szCs w:val="20"/>
        </w:rPr>
      </w:pPr>
    </w:p>
    <w:p w14:paraId="1CDA504A" w14:textId="1CFB7793" w:rsidR="004A55FE" w:rsidRDefault="00931206" w:rsidP="00A4051D">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4A55FE" w:rsidRPr="00230603">
        <w:rPr>
          <w:rFonts w:ascii="Arial" w:hAnsi="Arial" w:cs="Arial"/>
          <w:b/>
          <w:sz w:val="20"/>
          <w:szCs w:val="20"/>
        </w:rPr>
        <w:t xml:space="preserve">. </w:t>
      </w:r>
      <w:r w:rsidR="004A55FE">
        <w:rPr>
          <w:rFonts w:ascii="Arial" w:hAnsi="Arial" w:cs="Arial"/>
          <w:b/>
          <w:sz w:val="20"/>
          <w:szCs w:val="20"/>
        </w:rPr>
        <w:t xml:space="preserve">Representação da Lei nº 8.666/1993. </w:t>
      </w:r>
      <w:r w:rsidR="004A55FE" w:rsidRPr="0046510C">
        <w:rPr>
          <w:rFonts w:ascii="Arial" w:hAnsi="Arial" w:cs="Arial"/>
          <w:b/>
          <w:sz w:val="20"/>
          <w:szCs w:val="20"/>
        </w:rPr>
        <w:t>Pregão Presencial. Contratação de equipe de apoio. Legalidade do funcionamento de empresas de segurança privada que não utilizam arma de fogo no exercício da atividade de vigilância comercial ou residencial, independentemente de autorização da Polícia Federal. Ausência de critério de correção monetária. Procedência parcial com aplicação de multa.</w:t>
      </w:r>
      <w:r w:rsidR="004A55FE" w:rsidRPr="00931206">
        <w:rPr>
          <w:rFonts w:ascii="Arial" w:hAnsi="Arial" w:cs="Arial"/>
          <w:b/>
          <w:sz w:val="20"/>
          <w:szCs w:val="20"/>
        </w:rPr>
        <w:t xml:space="preserve"> </w:t>
      </w:r>
    </w:p>
    <w:p w14:paraId="7E46D795" w14:textId="77777777" w:rsidR="004A55FE" w:rsidRDefault="004A55FE" w:rsidP="00A4051D">
      <w:pPr>
        <w:autoSpaceDE w:val="0"/>
        <w:autoSpaceDN w:val="0"/>
        <w:adjustRightInd w:val="0"/>
        <w:spacing w:after="0"/>
        <w:jc w:val="both"/>
        <w:rPr>
          <w:rFonts w:ascii="Arial" w:hAnsi="Arial" w:cs="Arial"/>
          <w:sz w:val="20"/>
          <w:szCs w:val="20"/>
        </w:rPr>
      </w:pPr>
    </w:p>
    <w:p w14:paraId="7EC971E0" w14:textId="77777777" w:rsidR="004A55FE" w:rsidRDefault="004A55FE" w:rsidP="00A4051D">
      <w:pPr>
        <w:autoSpaceDE w:val="0"/>
        <w:autoSpaceDN w:val="0"/>
        <w:adjustRightInd w:val="0"/>
        <w:spacing w:after="0"/>
        <w:jc w:val="both"/>
        <w:rPr>
          <w:rFonts w:ascii="Arial" w:hAnsi="Arial" w:cs="Arial"/>
          <w:sz w:val="20"/>
          <w:szCs w:val="20"/>
        </w:rPr>
      </w:pPr>
      <w:r w:rsidRPr="00636870">
        <w:rPr>
          <w:rFonts w:ascii="Arial" w:hAnsi="Arial" w:cs="Arial"/>
          <w:sz w:val="20"/>
          <w:szCs w:val="20"/>
        </w:rPr>
        <w:t>Conforme noticiado na exordial, o instrumento convocatório aqui</w:t>
      </w:r>
      <w:r>
        <w:rPr>
          <w:rFonts w:ascii="Arial" w:hAnsi="Arial" w:cs="Arial"/>
          <w:sz w:val="20"/>
          <w:szCs w:val="20"/>
        </w:rPr>
        <w:t xml:space="preserve"> </w:t>
      </w:r>
      <w:r w:rsidRPr="00636870">
        <w:rPr>
          <w:rFonts w:ascii="Arial" w:hAnsi="Arial" w:cs="Arial"/>
          <w:sz w:val="20"/>
          <w:szCs w:val="20"/>
        </w:rPr>
        <w:t>questionado realmente não prevê correção monetária e compensação financeira</w:t>
      </w:r>
      <w:r>
        <w:rPr>
          <w:rFonts w:ascii="Arial" w:hAnsi="Arial" w:cs="Arial"/>
          <w:sz w:val="20"/>
          <w:szCs w:val="20"/>
        </w:rPr>
        <w:t xml:space="preserve"> </w:t>
      </w:r>
      <w:r w:rsidRPr="00636870">
        <w:rPr>
          <w:rFonts w:ascii="Arial" w:hAnsi="Arial" w:cs="Arial"/>
          <w:sz w:val="20"/>
          <w:szCs w:val="20"/>
        </w:rPr>
        <w:t>(juros moratórios) em caso de atraso no pagamento da parcela devida.</w:t>
      </w:r>
      <w:r>
        <w:rPr>
          <w:rFonts w:ascii="Arial" w:hAnsi="Arial" w:cs="Arial"/>
          <w:sz w:val="20"/>
          <w:szCs w:val="20"/>
        </w:rPr>
        <w:t xml:space="preserve"> </w:t>
      </w:r>
      <w:r w:rsidRPr="00636870">
        <w:rPr>
          <w:rFonts w:ascii="Arial" w:hAnsi="Arial" w:cs="Arial"/>
          <w:sz w:val="20"/>
          <w:szCs w:val="20"/>
        </w:rPr>
        <w:t>Ocorre, contudo, que a ausência da referida previsão contraria</w:t>
      </w:r>
      <w:r>
        <w:rPr>
          <w:rFonts w:ascii="Arial" w:hAnsi="Arial" w:cs="Arial"/>
          <w:sz w:val="20"/>
          <w:szCs w:val="20"/>
        </w:rPr>
        <w:t xml:space="preserve"> </w:t>
      </w:r>
      <w:r w:rsidRPr="00636870">
        <w:rPr>
          <w:rFonts w:ascii="Arial" w:hAnsi="Arial" w:cs="Arial"/>
          <w:sz w:val="20"/>
          <w:szCs w:val="20"/>
        </w:rPr>
        <w:t>disposição expressa da Lei nº 8.666/93, em seu artigo 40, inciso XIX, alíneas “c”</w:t>
      </w:r>
      <w:r>
        <w:rPr>
          <w:rFonts w:ascii="Arial" w:hAnsi="Arial" w:cs="Arial"/>
          <w:sz w:val="20"/>
          <w:szCs w:val="20"/>
        </w:rPr>
        <w:t xml:space="preserve"> </w:t>
      </w:r>
      <w:r w:rsidRPr="00636870">
        <w:rPr>
          <w:rFonts w:ascii="Arial" w:hAnsi="Arial" w:cs="Arial"/>
          <w:sz w:val="20"/>
          <w:szCs w:val="20"/>
        </w:rPr>
        <w:t>e “d”</w:t>
      </w:r>
      <w:r>
        <w:rPr>
          <w:rFonts w:ascii="Arial" w:hAnsi="Arial" w:cs="Arial"/>
          <w:sz w:val="20"/>
          <w:szCs w:val="20"/>
        </w:rPr>
        <w:t>.</w:t>
      </w:r>
    </w:p>
    <w:p w14:paraId="11229D3B" w14:textId="77777777" w:rsidR="004A55FE" w:rsidRPr="00636870" w:rsidRDefault="004A55FE" w:rsidP="00A4051D">
      <w:pPr>
        <w:autoSpaceDE w:val="0"/>
        <w:autoSpaceDN w:val="0"/>
        <w:adjustRightInd w:val="0"/>
        <w:spacing w:after="0"/>
        <w:jc w:val="both"/>
        <w:rPr>
          <w:rFonts w:ascii="Arial" w:hAnsi="Arial" w:cs="Arial"/>
          <w:sz w:val="20"/>
          <w:szCs w:val="20"/>
        </w:rPr>
      </w:pPr>
    </w:p>
    <w:p w14:paraId="77F6A7D6" w14:textId="77777777" w:rsidR="004A55FE" w:rsidRPr="00636870" w:rsidRDefault="004A55FE" w:rsidP="00A4051D">
      <w:pPr>
        <w:autoSpaceDE w:val="0"/>
        <w:autoSpaceDN w:val="0"/>
        <w:adjustRightInd w:val="0"/>
        <w:spacing w:after="0"/>
        <w:jc w:val="both"/>
        <w:rPr>
          <w:rFonts w:ascii="Arial" w:hAnsi="Arial" w:cs="Arial"/>
          <w:sz w:val="20"/>
          <w:szCs w:val="20"/>
        </w:rPr>
      </w:pPr>
      <w:r w:rsidRPr="00636870">
        <w:rPr>
          <w:rFonts w:ascii="Arial" w:hAnsi="Arial" w:cs="Arial"/>
          <w:sz w:val="20"/>
          <w:szCs w:val="20"/>
        </w:rPr>
        <w:lastRenderedPageBreak/>
        <w:t>Do mesmo modo, o artigo 55, inciso III, do mesmo diploma legal,</w:t>
      </w:r>
      <w:r>
        <w:rPr>
          <w:rFonts w:ascii="Arial" w:hAnsi="Arial" w:cs="Arial"/>
          <w:sz w:val="20"/>
          <w:szCs w:val="20"/>
        </w:rPr>
        <w:t xml:space="preserve"> </w:t>
      </w:r>
      <w:r w:rsidRPr="00636870">
        <w:rPr>
          <w:rFonts w:ascii="Arial" w:hAnsi="Arial" w:cs="Arial"/>
          <w:sz w:val="20"/>
          <w:szCs w:val="20"/>
        </w:rPr>
        <w:t>prevê dentre as cláusulas necessárias em todo contrato, a que estabeleça “o preço e</w:t>
      </w:r>
      <w:r>
        <w:rPr>
          <w:rFonts w:ascii="Arial" w:hAnsi="Arial" w:cs="Arial"/>
          <w:sz w:val="20"/>
          <w:szCs w:val="20"/>
        </w:rPr>
        <w:t xml:space="preserve"> </w:t>
      </w:r>
      <w:r w:rsidRPr="00636870">
        <w:rPr>
          <w:rFonts w:ascii="Arial" w:hAnsi="Arial" w:cs="Arial"/>
          <w:sz w:val="20"/>
          <w:szCs w:val="20"/>
        </w:rPr>
        <w:t>as condições de pagamento, os critérios, data-base e periodicidade do</w:t>
      </w:r>
      <w:r>
        <w:rPr>
          <w:rFonts w:ascii="Arial" w:hAnsi="Arial" w:cs="Arial"/>
          <w:sz w:val="20"/>
          <w:szCs w:val="20"/>
        </w:rPr>
        <w:t xml:space="preserve"> </w:t>
      </w:r>
      <w:r w:rsidRPr="00636870">
        <w:rPr>
          <w:rFonts w:ascii="Arial" w:hAnsi="Arial" w:cs="Arial"/>
          <w:sz w:val="20"/>
          <w:szCs w:val="20"/>
        </w:rPr>
        <w:t>reajustamento de preços, os critérios de atualização monetária entre a data do</w:t>
      </w:r>
      <w:r>
        <w:rPr>
          <w:rFonts w:ascii="Arial" w:hAnsi="Arial" w:cs="Arial"/>
          <w:sz w:val="20"/>
          <w:szCs w:val="20"/>
        </w:rPr>
        <w:t xml:space="preserve"> </w:t>
      </w:r>
      <w:r w:rsidRPr="00636870">
        <w:rPr>
          <w:rFonts w:ascii="Arial" w:hAnsi="Arial" w:cs="Arial"/>
          <w:sz w:val="20"/>
          <w:szCs w:val="20"/>
        </w:rPr>
        <w:t>adimplemento das obrigações e a do efetivo pagamento”.</w:t>
      </w:r>
      <w:r>
        <w:rPr>
          <w:rFonts w:ascii="Arial" w:hAnsi="Arial" w:cs="Arial"/>
          <w:sz w:val="20"/>
          <w:szCs w:val="20"/>
        </w:rPr>
        <w:t xml:space="preserve"> </w:t>
      </w:r>
      <w:r w:rsidRPr="00636870">
        <w:rPr>
          <w:rFonts w:ascii="Arial" w:hAnsi="Arial" w:cs="Arial"/>
          <w:sz w:val="20"/>
          <w:szCs w:val="20"/>
        </w:rPr>
        <w:t>Deste modo, flagrante a irregularidade, haja vista que a legislação é</w:t>
      </w:r>
      <w:r>
        <w:rPr>
          <w:rFonts w:ascii="Arial" w:hAnsi="Arial" w:cs="Arial"/>
          <w:sz w:val="20"/>
          <w:szCs w:val="20"/>
        </w:rPr>
        <w:t xml:space="preserve"> </w:t>
      </w:r>
      <w:r w:rsidRPr="00636870">
        <w:rPr>
          <w:rFonts w:ascii="Arial" w:hAnsi="Arial" w:cs="Arial"/>
          <w:sz w:val="20"/>
          <w:szCs w:val="20"/>
        </w:rPr>
        <w:t>clara ao estipular que o edital do certame deve obrigatoriamente indicar as</w:t>
      </w:r>
      <w:r>
        <w:rPr>
          <w:rFonts w:ascii="Arial" w:hAnsi="Arial" w:cs="Arial"/>
          <w:sz w:val="20"/>
          <w:szCs w:val="20"/>
        </w:rPr>
        <w:t xml:space="preserve"> </w:t>
      </w:r>
      <w:r w:rsidRPr="00636870">
        <w:rPr>
          <w:rFonts w:ascii="Arial" w:hAnsi="Arial" w:cs="Arial"/>
          <w:sz w:val="20"/>
          <w:szCs w:val="20"/>
        </w:rPr>
        <w:t>condições de pagamento do preço estipulado, dentre elas o critério de atualização</w:t>
      </w:r>
      <w:r>
        <w:rPr>
          <w:rFonts w:ascii="Arial" w:hAnsi="Arial" w:cs="Arial"/>
          <w:sz w:val="20"/>
          <w:szCs w:val="20"/>
        </w:rPr>
        <w:t xml:space="preserve"> </w:t>
      </w:r>
      <w:r w:rsidRPr="00636870">
        <w:rPr>
          <w:rFonts w:ascii="Arial" w:hAnsi="Arial" w:cs="Arial"/>
          <w:sz w:val="20"/>
          <w:szCs w:val="20"/>
        </w:rPr>
        <w:t>monetária e as compensações financeiras e penalizações por eventuais atrasos.</w:t>
      </w:r>
    </w:p>
    <w:p w14:paraId="4C91C0EA" w14:textId="77777777" w:rsidR="004A55FE" w:rsidRDefault="004A55FE" w:rsidP="00A4051D">
      <w:pPr>
        <w:autoSpaceDE w:val="0"/>
        <w:autoSpaceDN w:val="0"/>
        <w:adjustRightInd w:val="0"/>
        <w:spacing w:after="0"/>
        <w:jc w:val="both"/>
        <w:rPr>
          <w:rFonts w:ascii="Arial" w:hAnsi="Arial" w:cs="Arial"/>
          <w:sz w:val="20"/>
          <w:szCs w:val="20"/>
        </w:rPr>
      </w:pPr>
    </w:p>
    <w:p w14:paraId="0EA2BABC" w14:textId="77777777" w:rsidR="004A55FE" w:rsidRDefault="004A55FE" w:rsidP="00A4051D">
      <w:pPr>
        <w:autoSpaceDE w:val="0"/>
        <w:autoSpaceDN w:val="0"/>
        <w:adjustRightInd w:val="0"/>
        <w:spacing w:after="0"/>
        <w:jc w:val="both"/>
        <w:rPr>
          <w:rFonts w:ascii="Arial" w:hAnsi="Arial" w:cs="Arial"/>
          <w:sz w:val="20"/>
          <w:szCs w:val="20"/>
        </w:rPr>
      </w:pPr>
      <w:r w:rsidRPr="00636870">
        <w:rPr>
          <w:rFonts w:ascii="Arial" w:hAnsi="Arial" w:cs="Arial"/>
          <w:sz w:val="20"/>
          <w:szCs w:val="20"/>
        </w:rPr>
        <w:t>Pelo exposto, considerando inobservância de formalidade</w:t>
      </w:r>
      <w:r>
        <w:rPr>
          <w:rFonts w:ascii="Arial" w:hAnsi="Arial" w:cs="Arial"/>
          <w:sz w:val="20"/>
          <w:szCs w:val="20"/>
        </w:rPr>
        <w:t xml:space="preserve"> </w:t>
      </w:r>
      <w:r w:rsidRPr="00636870">
        <w:rPr>
          <w:rFonts w:ascii="Arial" w:hAnsi="Arial" w:cs="Arial"/>
          <w:sz w:val="20"/>
          <w:szCs w:val="20"/>
        </w:rPr>
        <w:t>determinada pela lei, cabível a aplicação da multa prevista no artigo 87, inciso III,</w:t>
      </w:r>
      <w:r>
        <w:rPr>
          <w:rFonts w:ascii="Arial" w:hAnsi="Arial" w:cs="Arial"/>
          <w:sz w:val="20"/>
          <w:szCs w:val="20"/>
        </w:rPr>
        <w:t xml:space="preserve"> </w:t>
      </w:r>
      <w:r w:rsidRPr="00636870">
        <w:rPr>
          <w:rFonts w:ascii="Arial" w:hAnsi="Arial" w:cs="Arial"/>
          <w:sz w:val="20"/>
          <w:szCs w:val="20"/>
        </w:rPr>
        <w:t>alínea “d” da Lei Complementar Estadual nº 113/2005 à Pregoeira e signatária do edital.</w:t>
      </w:r>
    </w:p>
    <w:p w14:paraId="13E27D17" w14:textId="77777777" w:rsidR="004A55FE" w:rsidRPr="00636870" w:rsidRDefault="004A55FE" w:rsidP="00A4051D">
      <w:pPr>
        <w:autoSpaceDE w:val="0"/>
        <w:autoSpaceDN w:val="0"/>
        <w:adjustRightInd w:val="0"/>
        <w:spacing w:after="0"/>
        <w:jc w:val="both"/>
        <w:rPr>
          <w:rFonts w:ascii="Arial" w:hAnsi="Arial" w:cs="Arial"/>
          <w:sz w:val="20"/>
          <w:szCs w:val="20"/>
        </w:rPr>
      </w:pPr>
    </w:p>
    <w:p w14:paraId="72E59712" w14:textId="77777777" w:rsidR="004A55FE" w:rsidRDefault="004A55FE" w:rsidP="00A4051D">
      <w:pPr>
        <w:autoSpaceDE w:val="0"/>
        <w:autoSpaceDN w:val="0"/>
        <w:adjustRightInd w:val="0"/>
        <w:spacing w:after="0"/>
        <w:jc w:val="both"/>
        <w:rPr>
          <w:rFonts w:ascii="Arial" w:hAnsi="Arial" w:cs="Arial"/>
          <w:sz w:val="20"/>
          <w:szCs w:val="20"/>
        </w:rPr>
      </w:pPr>
      <w:r>
        <w:rPr>
          <w:rFonts w:ascii="Arial" w:hAnsi="Arial" w:cs="Arial"/>
          <w:sz w:val="20"/>
          <w:szCs w:val="20"/>
        </w:rPr>
        <w:t>N</w:t>
      </w:r>
      <w:r w:rsidRPr="00636870">
        <w:rPr>
          <w:rFonts w:ascii="Arial" w:hAnsi="Arial" w:cs="Arial"/>
          <w:sz w:val="20"/>
          <w:szCs w:val="20"/>
        </w:rPr>
        <w:t>o que diz respeito à exclusão da cláusula 5.1 do Anexo 03,</w:t>
      </w:r>
      <w:r>
        <w:rPr>
          <w:rFonts w:ascii="Arial" w:hAnsi="Arial" w:cs="Arial"/>
          <w:sz w:val="20"/>
          <w:szCs w:val="20"/>
        </w:rPr>
        <w:t xml:space="preserve"> </w:t>
      </w:r>
      <w:r w:rsidRPr="00636870">
        <w:rPr>
          <w:rFonts w:ascii="Arial" w:hAnsi="Arial" w:cs="Arial"/>
          <w:sz w:val="20"/>
          <w:szCs w:val="20"/>
        </w:rPr>
        <w:t>que como requisito de qualificação técnica exigia prova de registro emitido pela</w:t>
      </w:r>
      <w:r>
        <w:rPr>
          <w:rFonts w:ascii="Arial" w:hAnsi="Arial" w:cs="Arial"/>
          <w:sz w:val="20"/>
          <w:szCs w:val="20"/>
        </w:rPr>
        <w:t xml:space="preserve"> </w:t>
      </w:r>
      <w:r w:rsidRPr="00636870">
        <w:rPr>
          <w:rFonts w:ascii="Arial" w:hAnsi="Arial" w:cs="Arial"/>
          <w:sz w:val="20"/>
          <w:szCs w:val="20"/>
        </w:rPr>
        <w:t xml:space="preserve">Polícia Federal, </w:t>
      </w:r>
      <w:r w:rsidRPr="00931206">
        <w:rPr>
          <w:rFonts w:ascii="Arial" w:hAnsi="Arial" w:cs="Arial"/>
          <w:sz w:val="20"/>
          <w:szCs w:val="20"/>
        </w:rPr>
        <w:t>verifico que não há irregularidade</w:t>
      </w:r>
      <w:r w:rsidRPr="00636870">
        <w:rPr>
          <w:rFonts w:ascii="Arial" w:hAnsi="Arial" w:cs="Arial"/>
          <w:sz w:val="20"/>
          <w:szCs w:val="20"/>
        </w:rPr>
        <w:t>.</w:t>
      </w:r>
      <w:r>
        <w:rPr>
          <w:rFonts w:ascii="Arial" w:hAnsi="Arial" w:cs="Arial"/>
          <w:sz w:val="20"/>
          <w:szCs w:val="20"/>
        </w:rPr>
        <w:t xml:space="preserve"> </w:t>
      </w:r>
      <w:r w:rsidRPr="00636870">
        <w:rPr>
          <w:rFonts w:ascii="Arial" w:hAnsi="Arial" w:cs="Arial"/>
          <w:sz w:val="20"/>
          <w:szCs w:val="20"/>
        </w:rPr>
        <w:t>No caso em espécie, a controvérsia diz respeito à suposta</w:t>
      </w:r>
      <w:r>
        <w:rPr>
          <w:rFonts w:ascii="Arial" w:hAnsi="Arial" w:cs="Arial"/>
          <w:sz w:val="20"/>
          <w:szCs w:val="20"/>
        </w:rPr>
        <w:t xml:space="preserve"> </w:t>
      </w:r>
      <w:r w:rsidRPr="00636870">
        <w:rPr>
          <w:rFonts w:ascii="Arial" w:hAnsi="Arial" w:cs="Arial"/>
          <w:sz w:val="20"/>
          <w:szCs w:val="20"/>
        </w:rPr>
        <w:t>necessidade de registro junto à Polícia Federal pelas entidades que prestam</w:t>
      </w:r>
      <w:r>
        <w:rPr>
          <w:rFonts w:ascii="Arial" w:hAnsi="Arial" w:cs="Arial"/>
          <w:sz w:val="20"/>
          <w:szCs w:val="20"/>
        </w:rPr>
        <w:t xml:space="preserve"> </w:t>
      </w:r>
      <w:r w:rsidRPr="00636870">
        <w:rPr>
          <w:rFonts w:ascii="Arial" w:hAnsi="Arial" w:cs="Arial"/>
          <w:sz w:val="20"/>
          <w:szCs w:val="20"/>
        </w:rPr>
        <w:t>serviços de segurança privada, já que a contratação em análise teve por objeto a</w:t>
      </w:r>
      <w:r>
        <w:rPr>
          <w:rFonts w:ascii="Arial" w:hAnsi="Arial" w:cs="Arial"/>
          <w:sz w:val="20"/>
          <w:szCs w:val="20"/>
        </w:rPr>
        <w:t xml:space="preserve"> </w:t>
      </w:r>
      <w:r w:rsidRPr="00636870">
        <w:rPr>
          <w:rFonts w:ascii="Arial" w:hAnsi="Arial" w:cs="Arial"/>
          <w:sz w:val="20"/>
          <w:szCs w:val="20"/>
        </w:rPr>
        <w:t>“contratação de empresa para fornecimento de equipe de apoio, composta de 15</w:t>
      </w:r>
      <w:r>
        <w:rPr>
          <w:rFonts w:ascii="Arial" w:hAnsi="Arial" w:cs="Arial"/>
          <w:sz w:val="20"/>
          <w:szCs w:val="20"/>
        </w:rPr>
        <w:t xml:space="preserve"> </w:t>
      </w:r>
      <w:r w:rsidRPr="00636870">
        <w:rPr>
          <w:rFonts w:ascii="Arial" w:hAnsi="Arial" w:cs="Arial"/>
          <w:sz w:val="20"/>
          <w:szCs w:val="20"/>
        </w:rPr>
        <w:t>pessoas desarmadas, capacitadas a realizar serviços de monitoramento de pessoas</w:t>
      </w:r>
      <w:r>
        <w:rPr>
          <w:rFonts w:ascii="Arial" w:hAnsi="Arial" w:cs="Arial"/>
          <w:sz w:val="20"/>
          <w:szCs w:val="20"/>
        </w:rPr>
        <w:t xml:space="preserve"> </w:t>
      </w:r>
      <w:r w:rsidRPr="00636870">
        <w:rPr>
          <w:rFonts w:ascii="Arial" w:hAnsi="Arial" w:cs="Arial"/>
          <w:sz w:val="20"/>
          <w:szCs w:val="20"/>
        </w:rPr>
        <w:t>e bens móveis e imóveis, consistentes em orientar e manter a integridade física de</w:t>
      </w:r>
      <w:r>
        <w:rPr>
          <w:rFonts w:ascii="Arial" w:hAnsi="Arial" w:cs="Arial"/>
          <w:sz w:val="20"/>
          <w:szCs w:val="20"/>
        </w:rPr>
        <w:t xml:space="preserve"> </w:t>
      </w:r>
      <w:r w:rsidRPr="00636870">
        <w:rPr>
          <w:rFonts w:ascii="Arial" w:hAnsi="Arial" w:cs="Arial"/>
          <w:sz w:val="20"/>
          <w:szCs w:val="20"/>
        </w:rPr>
        <w:t>pessoas em geral”.</w:t>
      </w:r>
      <w:r>
        <w:rPr>
          <w:rFonts w:ascii="Arial" w:hAnsi="Arial" w:cs="Arial"/>
          <w:sz w:val="20"/>
          <w:szCs w:val="20"/>
        </w:rPr>
        <w:t xml:space="preserve"> </w:t>
      </w:r>
      <w:r w:rsidRPr="00636870">
        <w:rPr>
          <w:rFonts w:ascii="Arial" w:hAnsi="Arial" w:cs="Arial"/>
          <w:sz w:val="20"/>
          <w:szCs w:val="20"/>
        </w:rPr>
        <w:t>Segundo consta do Ofício encaminhado pela</w:t>
      </w:r>
      <w:r>
        <w:rPr>
          <w:rFonts w:ascii="Arial" w:hAnsi="Arial" w:cs="Arial"/>
          <w:sz w:val="20"/>
          <w:szCs w:val="20"/>
        </w:rPr>
        <w:t xml:space="preserve"> Comissão de vistoria da Polícia Federal ao Município, o </w:t>
      </w:r>
      <w:r w:rsidRPr="00636870">
        <w:rPr>
          <w:rFonts w:ascii="Arial" w:hAnsi="Arial" w:cs="Arial"/>
          <w:sz w:val="20"/>
          <w:szCs w:val="20"/>
        </w:rPr>
        <w:t>serviço contratado por meio do Pregão Presencial envolve atividades</w:t>
      </w:r>
      <w:r>
        <w:rPr>
          <w:rFonts w:ascii="Arial" w:hAnsi="Arial" w:cs="Arial"/>
          <w:sz w:val="20"/>
          <w:szCs w:val="20"/>
        </w:rPr>
        <w:t xml:space="preserve"> </w:t>
      </w:r>
      <w:r w:rsidRPr="00636870">
        <w:rPr>
          <w:rFonts w:ascii="Arial" w:hAnsi="Arial" w:cs="Arial"/>
          <w:sz w:val="20"/>
          <w:szCs w:val="20"/>
        </w:rPr>
        <w:t>regulamentadas pela Lei nº 7.102/83, as quais podem ser realizadas exclusivamente</w:t>
      </w:r>
      <w:r>
        <w:rPr>
          <w:rFonts w:ascii="Arial" w:hAnsi="Arial" w:cs="Arial"/>
          <w:sz w:val="20"/>
          <w:szCs w:val="20"/>
        </w:rPr>
        <w:t xml:space="preserve"> </w:t>
      </w:r>
      <w:r w:rsidRPr="00636870">
        <w:rPr>
          <w:rFonts w:ascii="Arial" w:hAnsi="Arial" w:cs="Arial"/>
          <w:sz w:val="20"/>
          <w:szCs w:val="20"/>
        </w:rPr>
        <w:t>por empresas autorizada pela Polícia Feder</w:t>
      </w:r>
      <w:r>
        <w:rPr>
          <w:rFonts w:ascii="Arial" w:hAnsi="Arial" w:cs="Arial"/>
          <w:sz w:val="20"/>
          <w:szCs w:val="20"/>
        </w:rPr>
        <w:t xml:space="preserve">al. </w:t>
      </w:r>
    </w:p>
    <w:p w14:paraId="6CE184D3" w14:textId="77777777" w:rsidR="004A55FE" w:rsidRDefault="004A55FE" w:rsidP="00A4051D">
      <w:pPr>
        <w:autoSpaceDE w:val="0"/>
        <w:autoSpaceDN w:val="0"/>
        <w:adjustRightInd w:val="0"/>
        <w:spacing w:after="0"/>
        <w:jc w:val="both"/>
        <w:rPr>
          <w:rFonts w:ascii="Arial" w:hAnsi="Arial" w:cs="Arial"/>
          <w:sz w:val="20"/>
          <w:szCs w:val="20"/>
        </w:rPr>
      </w:pPr>
      <w:r>
        <w:rPr>
          <w:rFonts w:ascii="Arial" w:hAnsi="Arial" w:cs="Arial"/>
          <w:sz w:val="20"/>
          <w:szCs w:val="20"/>
        </w:rPr>
        <w:t xml:space="preserve"> </w:t>
      </w:r>
    </w:p>
    <w:p w14:paraId="22B17316" w14:textId="77777777" w:rsidR="004A55FE" w:rsidRPr="00636870" w:rsidRDefault="004A55FE" w:rsidP="00A4051D">
      <w:pPr>
        <w:autoSpaceDE w:val="0"/>
        <w:autoSpaceDN w:val="0"/>
        <w:adjustRightInd w:val="0"/>
        <w:spacing w:after="0"/>
        <w:jc w:val="both"/>
        <w:rPr>
          <w:rFonts w:ascii="Arial" w:hAnsi="Arial" w:cs="Arial"/>
          <w:sz w:val="20"/>
          <w:szCs w:val="20"/>
        </w:rPr>
      </w:pPr>
      <w:r w:rsidRPr="00636870">
        <w:rPr>
          <w:rFonts w:ascii="Arial" w:hAnsi="Arial" w:cs="Arial"/>
          <w:sz w:val="20"/>
          <w:szCs w:val="20"/>
        </w:rPr>
        <w:t>Muito embora a Comissão de Vistoria em Segurança Privada da</w:t>
      </w:r>
      <w:r>
        <w:rPr>
          <w:rFonts w:ascii="Arial" w:hAnsi="Arial" w:cs="Arial"/>
          <w:sz w:val="20"/>
          <w:szCs w:val="20"/>
        </w:rPr>
        <w:t xml:space="preserve"> </w:t>
      </w:r>
      <w:r w:rsidRPr="00636870">
        <w:rPr>
          <w:rFonts w:ascii="Arial" w:hAnsi="Arial" w:cs="Arial"/>
          <w:sz w:val="20"/>
          <w:szCs w:val="20"/>
        </w:rPr>
        <w:t>Polícia Federal invoque parecer emitido pelo TRF4, por meio do qual se</w:t>
      </w:r>
      <w:r>
        <w:rPr>
          <w:rFonts w:ascii="Arial" w:hAnsi="Arial" w:cs="Arial"/>
          <w:sz w:val="20"/>
          <w:szCs w:val="20"/>
        </w:rPr>
        <w:t xml:space="preserve"> </w:t>
      </w:r>
      <w:r w:rsidRPr="00636870">
        <w:rPr>
          <w:rFonts w:ascii="Arial" w:hAnsi="Arial" w:cs="Arial"/>
          <w:sz w:val="20"/>
          <w:szCs w:val="20"/>
        </w:rPr>
        <w:t>teria pleiteado pela alteração de jurisprudência junto ao STJ, nada consta nos autos</w:t>
      </w:r>
      <w:r>
        <w:rPr>
          <w:rFonts w:ascii="Arial" w:hAnsi="Arial" w:cs="Arial"/>
          <w:sz w:val="20"/>
          <w:szCs w:val="20"/>
        </w:rPr>
        <w:t xml:space="preserve"> </w:t>
      </w:r>
      <w:r w:rsidRPr="00636870">
        <w:rPr>
          <w:rFonts w:ascii="Arial" w:hAnsi="Arial" w:cs="Arial"/>
          <w:sz w:val="20"/>
          <w:szCs w:val="20"/>
        </w:rPr>
        <w:t>sobre a alteração.</w:t>
      </w:r>
      <w:r>
        <w:rPr>
          <w:rFonts w:ascii="Arial" w:hAnsi="Arial" w:cs="Arial"/>
          <w:sz w:val="20"/>
          <w:szCs w:val="20"/>
        </w:rPr>
        <w:t xml:space="preserve"> </w:t>
      </w:r>
      <w:r w:rsidRPr="00636870">
        <w:rPr>
          <w:rFonts w:ascii="Arial" w:hAnsi="Arial" w:cs="Arial"/>
          <w:sz w:val="20"/>
          <w:szCs w:val="20"/>
        </w:rPr>
        <w:t>Assim, a despeito da relevância da matéria, que se mostra</w:t>
      </w:r>
      <w:r>
        <w:rPr>
          <w:rFonts w:ascii="Arial" w:hAnsi="Arial" w:cs="Arial"/>
          <w:sz w:val="20"/>
          <w:szCs w:val="20"/>
        </w:rPr>
        <w:t xml:space="preserve"> </w:t>
      </w:r>
      <w:r w:rsidRPr="00636870">
        <w:rPr>
          <w:rFonts w:ascii="Arial" w:hAnsi="Arial" w:cs="Arial"/>
          <w:sz w:val="20"/>
          <w:szCs w:val="20"/>
        </w:rPr>
        <w:t>discutível, o entendimento que ainda prevalece é o da legalidade do funcionamento</w:t>
      </w:r>
      <w:r>
        <w:rPr>
          <w:rFonts w:ascii="Arial" w:hAnsi="Arial" w:cs="Arial"/>
          <w:sz w:val="20"/>
          <w:szCs w:val="20"/>
        </w:rPr>
        <w:t xml:space="preserve"> </w:t>
      </w:r>
      <w:r w:rsidRPr="00636870">
        <w:rPr>
          <w:rFonts w:ascii="Arial" w:hAnsi="Arial" w:cs="Arial"/>
          <w:sz w:val="20"/>
          <w:szCs w:val="20"/>
        </w:rPr>
        <w:t>de empresas de segurança privada que não utilizam arma de fogo no exercício da</w:t>
      </w:r>
      <w:r>
        <w:rPr>
          <w:rFonts w:ascii="Arial" w:hAnsi="Arial" w:cs="Arial"/>
          <w:sz w:val="20"/>
          <w:szCs w:val="20"/>
        </w:rPr>
        <w:t xml:space="preserve"> </w:t>
      </w:r>
      <w:r w:rsidRPr="00636870">
        <w:rPr>
          <w:rFonts w:ascii="Arial" w:hAnsi="Arial" w:cs="Arial"/>
          <w:sz w:val="20"/>
          <w:szCs w:val="20"/>
        </w:rPr>
        <w:t>atividade de vigilância comercial ou residencial, independentemente de autorização</w:t>
      </w:r>
      <w:r>
        <w:rPr>
          <w:rFonts w:ascii="Arial" w:hAnsi="Arial" w:cs="Arial"/>
          <w:sz w:val="20"/>
          <w:szCs w:val="20"/>
        </w:rPr>
        <w:t xml:space="preserve"> </w:t>
      </w:r>
      <w:r w:rsidRPr="00636870">
        <w:rPr>
          <w:rFonts w:ascii="Arial" w:hAnsi="Arial" w:cs="Arial"/>
          <w:sz w:val="20"/>
          <w:szCs w:val="20"/>
        </w:rPr>
        <w:t>da Polícia Federal.</w:t>
      </w:r>
    </w:p>
    <w:p w14:paraId="0C98E425" w14:textId="77777777" w:rsidR="004A55FE" w:rsidRPr="00636870" w:rsidRDefault="004A55FE" w:rsidP="00A4051D">
      <w:pPr>
        <w:autoSpaceDE w:val="0"/>
        <w:autoSpaceDN w:val="0"/>
        <w:adjustRightInd w:val="0"/>
        <w:spacing w:after="0"/>
        <w:jc w:val="both"/>
        <w:rPr>
          <w:rFonts w:ascii="Arial" w:hAnsi="Arial" w:cs="Arial"/>
          <w:sz w:val="20"/>
          <w:szCs w:val="20"/>
        </w:rPr>
      </w:pPr>
    </w:p>
    <w:p w14:paraId="6075080D" w14:textId="77777777" w:rsidR="004A55FE" w:rsidRPr="00636870" w:rsidRDefault="004A55FE" w:rsidP="00A4051D">
      <w:pPr>
        <w:autoSpaceDE w:val="0"/>
        <w:autoSpaceDN w:val="0"/>
        <w:adjustRightInd w:val="0"/>
        <w:spacing w:after="0"/>
        <w:jc w:val="both"/>
        <w:rPr>
          <w:rFonts w:ascii="Arial" w:hAnsi="Arial" w:cs="Arial"/>
          <w:sz w:val="20"/>
          <w:szCs w:val="20"/>
        </w:rPr>
      </w:pPr>
      <w:r w:rsidRPr="00636870">
        <w:rPr>
          <w:rFonts w:ascii="Arial" w:hAnsi="Arial" w:cs="Arial"/>
          <w:sz w:val="20"/>
          <w:szCs w:val="20"/>
        </w:rPr>
        <w:t>Assim, considerando que os serviços contratados por meio do</w:t>
      </w:r>
      <w:r>
        <w:rPr>
          <w:rFonts w:ascii="Arial" w:hAnsi="Arial" w:cs="Arial"/>
          <w:sz w:val="20"/>
          <w:szCs w:val="20"/>
        </w:rPr>
        <w:t xml:space="preserve"> </w:t>
      </w:r>
      <w:r w:rsidRPr="00636870">
        <w:rPr>
          <w:rFonts w:ascii="Arial" w:hAnsi="Arial" w:cs="Arial"/>
          <w:sz w:val="20"/>
          <w:szCs w:val="20"/>
        </w:rPr>
        <w:t>Pregão Presencial não envolvem atividades de segurança armada, não</w:t>
      </w:r>
      <w:r>
        <w:rPr>
          <w:rFonts w:ascii="Arial" w:hAnsi="Arial" w:cs="Arial"/>
          <w:sz w:val="20"/>
          <w:szCs w:val="20"/>
        </w:rPr>
        <w:t xml:space="preserve"> </w:t>
      </w:r>
      <w:r w:rsidRPr="00636870">
        <w:rPr>
          <w:rFonts w:ascii="Arial" w:hAnsi="Arial" w:cs="Arial"/>
          <w:sz w:val="20"/>
          <w:szCs w:val="20"/>
        </w:rPr>
        <w:t>há que se falar em necessidade de autorização da Polícia Federal, devendo</w:t>
      </w:r>
      <w:r>
        <w:rPr>
          <w:rFonts w:ascii="Arial" w:hAnsi="Arial" w:cs="Arial"/>
          <w:sz w:val="20"/>
          <w:szCs w:val="20"/>
        </w:rPr>
        <w:t xml:space="preserve"> </w:t>
      </w:r>
      <w:r w:rsidRPr="00636870">
        <w:rPr>
          <w:rFonts w:ascii="Arial" w:hAnsi="Arial" w:cs="Arial"/>
          <w:sz w:val="20"/>
          <w:szCs w:val="20"/>
        </w:rPr>
        <w:t>prevalecer o entendimento até então vigente no Superior Tribunal de Justiça.</w:t>
      </w:r>
      <w:r>
        <w:rPr>
          <w:rFonts w:ascii="Arial" w:hAnsi="Arial" w:cs="Arial"/>
          <w:sz w:val="20"/>
          <w:szCs w:val="20"/>
        </w:rPr>
        <w:t xml:space="preserve"> </w:t>
      </w:r>
    </w:p>
    <w:p w14:paraId="04C2C5CD" w14:textId="77777777" w:rsidR="004A55FE" w:rsidRDefault="004A55FE" w:rsidP="00A4051D">
      <w:pPr>
        <w:autoSpaceDE w:val="0"/>
        <w:autoSpaceDN w:val="0"/>
        <w:adjustRightInd w:val="0"/>
        <w:spacing w:after="0"/>
        <w:rPr>
          <w:rFonts w:ascii="Arial" w:hAnsi="Arial" w:cs="Arial"/>
          <w:sz w:val="20"/>
          <w:szCs w:val="20"/>
        </w:rPr>
      </w:pPr>
    </w:p>
    <w:p w14:paraId="3F2AEC3D" w14:textId="77777777" w:rsidR="004A55FE" w:rsidRDefault="004A55FE" w:rsidP="00A4051D">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378854/18</w:t>
      </w:r>
      <w:r w:rsidRPr="00230603">
        <w:rPr>
          <w:rFonts w:ascii="Arial" w:hAnsi="Arial" w:cs="Arial"/>
          <w:sz w:val="20"/>
          <w:szCs w:val="20"/>
        </w:rPr>
        <w:t xml:space="preserve"> – </w:t>
      </w:r>
      <w:hyperlink r:id="rId14" w:history="1">
        <w:r w:rsidRPr="00230603">
          <w:rPr>
            <w:rStyle w:val="Hyperlink"/>
            <w:rFonts w:ascii="Arial" w:hAnsi="Arial" w:cs="Arial"/>
            <w:sz w:val="20"/>
            <w:szCs w:val="20"/>
          </w:rPr>
          <w:t>Acórdão nº 1</w:t>
        </w:r>
        <w:r>
          <w:rPr>
            <w:rStyle w:val="Hyperlink"/>
            <w:rFonts w:ascii="Arial" w:hAnsi="Arial" w:cs="Arial"/>
            <w:sz w:val="20"/>
            <w:szCs w:val="20"/>
          </w:rPr>
          <w:t>847</w:t>
        </w:r>
        <w:r w:rsidRPr="00230603">
          <w:rPr>
            <w:rStyle w:val="Hyperlink"/>
            <w:rFonts w:ascii="Arial" w:hAnsi="Arial" w:cs="Arial"/>
            <w:sz w:val="20"/>
            <w:szCs w:val="20"/>
          </w:rPr>
          <w:t xml:space="preserve">/19 – </w:t>
        </w:r>
        <w:r>
          <w:rPr>
            <w:rStyle w:val="Hyperlink"/>
            <w:rFonts w:ascii="Arial" w:hAnsi="Arial" w:cs="Arial"/>
            <w:sz w:val="20"/>
            <w:szCs w:val="20"/>
          </w:rPr>
          <w:t>Tribunal Pleno</w:t>
        </w:r>
      </w:hyperlink>
      <w:r w:rsidRPr="00230603">
        <w:rPr>
          <w:rFonts w:ascii="Arial" w:hAnsi="Arial" w:cs="Arial"/>
          <w:sz w:val="20"/>
          <w:szCs w:val="20"/>
        </w:rPr>
        <w:t xml:space="preserve"> - Relator </w:t>
      </w:r>
      <w:r>
        <w:rPr>
          <w:rFonts w:ascii="Arial" w:hAnsi="Arial" w:cs="Arial"/>
          <w:sz w:val="20"/>
          <w:szCs w:val="20"/>
        </w:rPr>
        <w:t xml:space="preserve">Conselheiro Ivan </w:t>
      </w:r>
      <w:proofErr w:type="spellStart"/>
      <w:r>
        <w:rPr>
          <w:rFonts w:ascii="Arial" w:hAnsi="Arial" w:cs="Arial"/>
          <w:sz w:val="20"/>
          <w:szCs w:val="20"/>
        </w:rPr>
        <w:t>Lelis</w:t>
      </w:r>
      <w:proofErr w:type="spellEnd"/>
      <w:r>
        <w:rPr>
          <w:rFonts w:ascii="Arial" w:hAnsi="Arial" w:cs="Arial"/>
          <w:sz w:val="20"/>
          <w:szCs w:val="20"/>
        </w:rPr>
        <w:t xml:space="preserve"> Bonilha.</w:t>
      </w:r>
    </w:p>
    <w:p w14:paraId="6CB5C4C9" w14:textId="77777777" w:rsidR="004A55FE" w:rsidRDefault="004A55FE" w:rsidP="00A4051D">
      <w:pPr>
        <w:autoSpaceDE w:val="0"/>
        <w:autoSpaceDN w:val="0"/>
        <w:adjustRightInd w:val="0"/>
        <w:spacing w:after="0"/>
        <w:jc w:val="both"/>
        <w:rPr>
          <w:rFonts w:ascii="Arial" w:hAnsi="Arial" w:cs="Arial"/>
          <w:sz w:val="20"/>
          <w:szCs w:val="20"/>
        </w:rPr>
      </w:pPr>
    </w:p>
    <w:p w14:paraId="144B510D" w14:textId="50AABF4A" w:rsidR="004A55FE" w:rsidRDefault="00931206" w:rsidP="00A4051D">
      <w:pPr>
        <w:autoSpaceDE w:val="0"/>
        <w:autoSpaceDN w:val="0"/>
        <w:adjustRightInd w:val="0"/>
        <w:spacing w:after="0"/>
        <w:jc w:val="both"/>
        <w:rPr>
          <w:rFonts w:ascii="Arial" w:hAnsi="Arial" w:cs="Arial"/>
          <w:b/>
          <w:sz w:val="20"/>
          <w:szCs w:val="20"/>
        </w:rPr>
      </w:pPr>
      <w:r>
        <w:rPr>
          <w:rFonts w:ascii="Arial" w:hAnsi="Arial" w:cs="Arial"/>
          <w:b/>
          <w:sz w:val="20"/>
          <w:szCs w:val="20"/>
        </w:rPr>
        <w:t>8</w:t>
      </w:r>
      <w:r w:rsidR="004A55FE" w:rsidRPr="00230603">
        <w:rPr>
          <w:rFonts w:ascii="Arial" w:hAnsi="Arial" w:cs="Arial"/>
          <w:b/>
          <w:sz w:val="20"/>
          <w:szCs w:val="20"/>
        </w:rPr>
        <w:t xml:space="preserve">. </w:t>
      </w:r>
      <w:r w:rsidR="004A55FE">
        <w:rPr>
          <w:rFonts w:ascii="Arial" w:hAnsi="Arial" w:cs="Arial"/>
          <w:b/>
          <w:sz w:val="20"/>
          <w:szCs w:val="20"/>
        </w:rPr>
        <w:t xml:space="preserve">Consulta. </w:t>
      </w:r>
      <w:r w:rsidR="004A55FE" w:rsidRPr="0072565B">
        <w:rPr>
          <w:rFonts w:ascii="Arial" w:hAnsi="Arial" w:cs="Arial"/>
          <w:b/>
          <w:sz w:val="20"/>
          <w:szCs w:val="20"/>
        </w:rPr>
        <w:t>Indagação a respeito da possibilidade de</w:t>
      </w:r>
      <w:r w:rsidR="004A55FE">
        <w:rPr>
          <w:rFonts w:ascii="Arial" w:hAnsi="Arial" w:cs="Arial"/>
          <w:b/>
          <w:sz w:val="20"/>
          <w:szCs w:val="20"/>
        </w:rPr>
        <w:t xml:space="preserve"> </w:t>
      </w:r>
      <w:r w:rsidR="004A55FE" w:rsidRPr="0072565B">
        <w:rPr>
          <w:rFonts w:ascii="Arial" w:hAnsi="Arial" w:cs="Arial"/>
          <w:b/>
          <w:sz w:val="20"/>
          <w:szCs w:val="20"/>
        </w:rPr>
        <w:t>fixação de verba remuneratória a servidores da Câmara</w:t>
      </w:r>
      <w:r w:rsidR="004A55FE">
        <w:rPr>
          <w:rFonts w:ascii="Arial" w:hAnsi="Arial" w:cs="Arial"/>
          <w:b/>
          <w:sz w:val="20"/>
          <w:szCs w:val="20"/>
        </w:rPr>
        <w:t xml:space="preserve"> </w:t>
      </w:r>
      <w:r w:rsidR="004A55FE" w:rsidRPr="0072565B">
        <w:rPr>
          <w:rFonts w:ascii="Arial" w:hAnsi="Arial" w:cs="Arial"/>
          <w:b/>
          <w:sz w:val="20"/>
          <w:szCs w:val="20"/>
        </w:rPr>
        <w:t>Municipal, mediante simples remissão à lei de iniciativa</w:t>
      </w:r>
      <w:r w:rsidR="004A55FE">
        <w:rPr>
          <w:rFonts w:ascii="Arial" w:hAnsi="Arial" w:cs="Arial"/>
          <w:b/>
          <w:sz w:val="20"/>
          <w:szCs w:val="20"/>
        </w:rPr>
        <w:t xml:space="preserve"> </w:t>
      </w:r>
      <w:r w:rsidR="004A55FE" w:rsidRPr="0072565B">
        <w:rPr>
          <w:rFonts w:ascii="Arial" w:hAnsi="Arial" w:cs="Arial"/>
          <w:b/>
          <w:sz w:val="20"/>
          <w:szCs w:val="20"/>
        </w:rPr>
        <w:t xml:space="preserve">do Poder </w:t>
      </w:r>
      <w:r w:rsidR="004A55FE" w:rsidRPr="0072565B">
        <w:rPr>
          <w:rFonts w:ascii="Arial" w:hAnsi="Arial" w:cs="Arial"/>
          <w:b/>
          <w:sz w:val="20"/>
          <w:szCs w:val="20"/>
        </w:rPr>
        <w:lastRenderedPageBreak/>
        <w:t>Executivo. Inviabilidade jurídica. Manifestações</w:t>
      </w:r>
      <w:r w:rsidR="004A55FE">
        <w:rPr>
          <w:rFonts w:ascii="Arial" w:hAnsi="Arial" w:cs="Arial"/>
          <w:b/>
          <w:sz w:val="20"/>
          <w:szCs w:val="20"/>
        </w:rPr>
        <w:t xml:space="preserve"> </w:t>
      </w:r>
      <w:r w:rsidR="004A55FE" w:rsidRPr="0072565B">
        <w:rPr>
          <w:rFonts w:ascii="Arial" w:hAnsi="Arial" w:cs="Arial"/>
          <w:b/>
          <w:sz w:val="20"/>
          <w:szCs w:val="20"/>
        </w:rPr>
        <w:t>uniformes. Necessidade de lei específica, nos termos da</w:t>
      </w:r>
      <w:r w:rsidR="004A55FE">
        <w:rPr>
          <w:rFonts w:ascii="Arial" w:hAnsi="Arial" w:cs="Arial"/>
          <w:b/>
          <w:sz w:val="20"/>
          <w:szCs w:val="20"/>
        </w:rPr>
        <w:t xml:space="preserve"> </w:t>
      </w:r>
      <w:r w:rsidR="004A55FE" w:rsidRPr="0072565B">
        <w:rPr>
          <w:rFonts w:ascii="Arial" w:hAnsi="Arial" w:cs="Arial"/>
          <w:b/>
          <w:sz w:val="20"/>
          <w:szCs w:val="20"/>
        </w:rPr>
        <w:t>Constituição Federal.</w:t>
      </w:r>
    </w:p>
    <w:p w14:paraId="28712748" w14:textId="77777777" w:rsidR="004A55FE" w:rsidRPr="00931206" w:rsidRDefault="004A55FE" w:rsidP="00A4051D">
      <w:pPr>
        <w:autoSpaceDE w:val="0"/>
        <w:autoSpaceDN w:val="0"/>
        <w:adjustRightInd w:val="0"/>
        <w:spacing w:after="0"/>
        <w:jc w:val="both"/>
        <w:rPr>
          <w:rFonts w:ascii="Arial" w:hAnsi="Arial" w:cs="Arial"/>
          <w:sz w:val="20"/>
          <w:szCs w:val="20"/>
        </w:rPr>
      </w:pPr>
    </w:p>
    <w:p w14:paraId="17FCBA8B" w14:textId="77777777" w:rsidR="004A55FE" w:rsidRDefault="004A55FE" w:rsidP="00A4051D">
      <w:pPr>
        <w:autoSpaceDE w:val="0"/>
        <w:autoSpaceDN w:val="0"/>
        <w:adjustRightInd w:val="0"/>
        <w:spacing w:after="0"/>
        <w:jc w:val="both"/>
        <w:rPr>
          <w:rFonts w:ascii="Arial" w:hAnsi="Arial" w:cs="Arial"/>
          <w:sz w:val="20"/>
          <w:szCs w:val="20"/>
        </w:rPr>
      </w:pPr>
      <w:r w:rsidRPr="00B94246">
        <w:rPr>
          <w:rFonts w:ascii="Arial" w:hAnsi="Arial" w:cs="Arial"/>
          <w:sz w:val="20"/>
          <w:szCs w:val="20"/>
        </w:rPr>
        <w:t>I – Conhecer a presente Consulta, uma vez presentes os</w:t>
      </w:r>
      <w:r>
        <w:rPr>
          <w:rFonts w:ascii="Arial" w:hAnsi="Arial" w:cs="Arial"/>
          <w:sz w:val="20"/>
          <w:szCs w:val="20"/>
        </w:rPr>
        <w:t xml:space="preserve"> </w:t>
      </w:r>
      <w:r w:rsidRPr="00B94246">
        <w:rPr>
          <w:rFonts w:ascii="Arial" w:hAnsi="Arial" w:cs="Arial"/>
          <w:sz w:val="20"/>
          <w:szCs w:val="20"/>
        </w:rPr>
        <w:t>pressupostos de admissibilidade, e, no mérito, respondê-la nos seguintes termos:</w:t>
      </w:r>
    </w:p>
    <w:p w14:paraId="558D219D" w14:textId="77777777" w:rsidR="004A55FE" w:rsidRPr="00B94246" w:rsidRDefault="004A55FE" w:rsidP="00A4051D">
      <w:pPr>
        <w:autoSpaceDE w:val="0"/>
        <w:autoSpaceDN w:val="0"/>
        <w:adjustRightInd w:val="0"/>
        <w:spacing w:after="0"/>
        <w:jc w:val="both"/>
        <w:rPr>
          <w:rFonts w:ascii="Arial" w:hAnsi="Arial" w:cs="Arial"/>
          <w:sz w:val="20"/>
          <w:szCs w:val="20"/>
        </w:rPr>
      </w:pPr>
    </w:p>
    <w:p w14:paraId="224F69F1" w14:textId="77777777" w:rsidR="004A55FE" w:rsidRPr="00B94246" w:rsidRDefault="004A55FE" w:rsidP="00A4051D">
      <w:pPr>
        <w:autoSpaceDE w:val="0"/>
        <w:autoSpaceDN w:val="0"/>
        <w:adjustRightInd w:val="0"/>
        <w:spacing w:after="0"/>
        <w:jc w:val="both"/>
        <w:rPr>
          <w:rFonts w:ascii="Arial" w:hAnsi="Arial" w:cs="Arial"/>
          <w:sz w:val="20"/>
          <w:szCs w:val="20"/>
        </w:rPr>
      </w:pPr>
      <w:r w:rsidRPr="00B94246">
        <w:rPr>
          <w:rFonts w:ascii="Arial" w:hAnsi="Arial" w:cs="Arial"/>
          <w:sz w:val="20"/>
          <w:szCs w:val="20"/>
        </w:rPr>
        <w:t>i) A verba remuneratória a servidores do Poder Legislativo não pode</w:t>
      </w:r>
      <w:r>
        <w:rPr>
          <w:rFonts w:ascii="Arial" w:hAnsi="Arial" w:cs="Arial"/>
          <w:sz w:val="20"/>
          <w:szCs w:val="20"/>
        </w:rPr>
        <w:t xml:space="preserve"> </w:t>
      </w:r>
      <w:r w:rsidRPr="00B94246">
        <w:rPr>
          <w:rFonts w:ascii="Arial" w:hAnsi="Arial" w:cs="Arial"/>
          <w:sz w:val="20"/>
          <w:szCs w:val="20"/>
        </w:rPr>
        <w:t>ser fixada por lei que faça remissão à de outro Poder, exigindo-se lei</w:t>
      </w:r>
      <w:r>
        <w:rPr>
          <w:rFonts w:ascii="Arial" w:hAnsi="Arial" w:cs="Arial"/>
          <w:sz w:val="20"/>
          <w:szCs w:val="20"/>
        </w:rPr>
        <w:t xml:space="preserve"> </w:t>
      </w:r>
      <w:r w:rsidRPr="00B94246">
        <w:rPr>
          <w:rFonts w:ascii="Arial" w:hAnsi="Arial" w:cs="Arial"/>
          <w:sz w:val="20"/>
          <w:szCs w:val="20"/>
        </w:rPr>
        <w:t>específica e de iniciativa da Câmara Municipal, sob pena de afronta</w:t>
      </w:r>
      <w:r>
        <w:rPr>
          <w:rFonts w:ascii="Arial" w:hAnsi="Arial" w:cs="Arial"/>
          <w:sz w:val="20"/>
          <w:szCs w:val="20"/>
        </w:rPr>
        <w:t xml:space="preserve"> </w:t>
      </w:r>
      <w:r w:rsidRPr="00B94246">
        <w:rPr>
          <w:rFonts w:ascii="Arial" w:hAnsi="Arial" w:cs="Arial"/>
          <w:sz w:val="20"/>
          <w:szCs w:val="20"/>
        </w:rPr>
        <w:t>à Constituição Federal, notadamente aos seus artigos 2º e 37, inciso</w:t>
      </w:r>
      <w:r>
        <w:rPr>
          <w:rFonts w:ascii="Arial" w:hAnsi="Arial" w:cs="Arial"/>
          <w:sz w:val="20"/>
          <w:szCs w:val="20"/>
        </w:rPr>
        <w:t xml:space="preserve"> </w:t>
      </w:r>
      <w:r w:rsidRPr="00B94246">
        <w:rPr>
          <w:rFonts w:ascii="Arial" w:hAnsi="Arial" w:cs="Arial"/>
          <w:sz w:val="20"/>
          <w:szCs w:val="20"/>
        </w:rPr>
        <w:t>X, devendo ser observadas as exigências contidas na Lei de</w:t>
      </w:r>
      <w:r>
        <w:rPr>
          <w:rFonts w:ascii="Arial" w:hAnsi="Arial" w:cs="Arial"/>
          <w:sz w:val="20"/>
          <w:szCs w:val="20"/>
        </w:rPr>
        <w:t xml:space="preserve"> </w:t>
      </w:r>
      <w:r w:rsidRPr="00B94246">
        <w:rPr>
          <w:rFonts w:ascii="Arial" w:hAnsi="Arial" w:cs="Arial"/>
          <w:sz w:val="20"/>
          <w:szCs w:val="20"/>
        </w:rPr>
        <w:t>Diretrizes Orçamentárias e as disposições da Lei de</w:t>
      </w:r>
      <w:r>
        <w:rPr>
          <w:rFonts w:ascii="Arial" w:hAnsi="Arial" w:cs="Arial"/>
          <w:sz w:val="20"/>
          <w:szCs w:val="20"/>
        </w:rPr>
        <w:t xml:space="preserve"> </w:t>
      </w:r>
      <w:r w:rsidRPr="00B94246">
        <w:rPr>
          <w:rFonts w:ascii="Arial" w:hAnsi="Arial" w:cs="Arial"/>
          <w:sz w:val="20"/>
          <w:szCs w:val="20"/>
        </w:rPr>
        <w:t>Responsabilidade Fiscal.</w:t>
      </w:r>
    </w:p>
    <w:p w14:paraId="5B9FF739" w14:textId="77777777" w:rsidR="004A55FE" w:rsidRPr="00230603" w:rsidRDefault="004A55FE" w:rsidP="00A4051D">
      <w:pPr>
        <w:autoSpaceDE w:val="0"/>
        <w:autoSpaceDN w:val="0"/>
        <w:adjustRightInd w:val="0"/>
        <w:spacing w:after="0"/>
        <w:jc w:val="both"/>
        <w:rPr>
          <w:rFonts w:ascii="Arial" w:hAnsi="Arial" w:cs="Arial"/>
          <w:sz w:val="20"/>
          <w:szCs w:val="20"/>
        </w:rPr>
      </w:pPr>
    </w:p>
    <w:p w14:paraId="22DC3A26" w14:textId="77777777" w:rsidR="004A55FE" w:rsidRDefault="004A55FE" w:rsidP="00A4051D">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608708/17</w:t>
      </w:r>
      <w:r w:rsidRPr="00230603">
        <w:rPr>
          <w:rFonts w:ascii="Arial" w:hAnsi="Arial" w:cs="Arial"/>
          <w:sz w:val="20"/>
          <w:szCs w:val="20"/>
        </w:rPr>
        <w:t xml:space="preserve"> –</w:t>
      </w:r>
      <w:hyperlink r:id="rId15" w:history="1">
        <w:r w:rsidRPr="001C52EB">
          <w:rPr>
            <w:rStyle w:val="Hyperlink"/>
            <w:rFonts w:ascii="Arial" w:hAnsi="Arial" w:cs="Arial"/>
            <w:sz w:val="20"/>
            <w:szCs w:val="20"/>
          </w:rPr>
          <w:t xml:space="preserve"> Acórdão nº 1843/19 – Tribunal Pleno</w:t>
        </w:r>
      </w:hyperlink>
      <w:r w:rsidRPr="00230603">
        <w:rPr>
          <w:rFonts w:ascii="Arial" w:hAnsi="Arial" w:cs="Arial"/>
          <w:sz w:val="20"/>
          <w:szCs w:val="20"/>
        </w:rPr>
        <w:t xml:space="preserve"> - Relator </w:t>
      </w:r>
      <w:r>
        <w:rPr>
          <w:rFonts w:ascii="Arial" w:hAnsi="Arial" w:cs="Arial"/>
          <w:sz w:val="20"/>
          <w:szCs w:val="20"/>
        </w:rPr>
        <w:t xml:space="preserve">Conselheiro Ivan </w:t>
      </w:r>
      <w:proofErr w:type="spellStart"/>
      <w:r>
        <w:rPr>
          <w:rFonts w:ascii="Arial" w:hAnsi="Arial" w:cs="Arial"/>
          <w:sz w:val="20"/>
          <w:szCs w:val="20"/>
        </w:rPr>
        <w:t>Lelis</w:t>
      </w:r>
      <w:proofErr w:type="spellEnd"/>
      <w:r>
        <w:rPr>
          <w:rFonts w:ascii="Arial" w:hAnsi="Arial" w:cs="Arial"/>
          <w:sz w:val="20"/>
          <w:szCs w:val="20"/>
        </w:rPr>
        <w:t xml:space="preserve"> Bonilha.</w:t>
      </w:r>
    </w:p>
    <w:p w14:paraId="75AF819E" w14:textId="77777777" w:rsidR="004A55FE" w:rsidRPr="00931206" w:rsidRDefault="004A55FE" w:rsidP="00A4051D">
      <w:pPr>
        <w:autoSpaceDE w:val="0"/>
        <w:autoSpaceDN w:val="0"/>
        <w:adjustRightInd w:val="0"/>
        <w:spacing w:after="0"/>
        <w:jc w:val="both"/>
        <w:rPr>
          <w:rFonts w:ascii="Arial" w:hAnsi="Arial" w:cs="Arial"/>
          <w:b/>
          <w:sz w:val="20"/>
          <w:szCs w:val="20"/>
        </w:rPr>
      </w:pPr>
    </w:p>
    <w:p w14:paraId="690C84FB" w14:textId="651DC26E" w:rsidR="004A55FE" w:rsidRPr="00813E93" w:rsidRDefault="00931206" w:rsidP="00A4051D">
      <w:pPr>
        <w:autoSpaceDE w:val="0"/>
        <w:autoSpaceDN w:val="0"/>
        <w:adjustRightInd w:val="0"/>
        <w:spacing w:after="0"/>
        <w:jc w:val="both"/>
        <w:rPr>
          <w:rFonts w:ascii="Arial" w:hAnsi="Arial" w:cs="Arial"/>
          <w:b/>
          <w:sz w:val="20"/>
          <w:szCs w:val="20"/>
        </w:rPr>
      </w:pPr>
      <w:r>
        <w:rPr>
          <w:rFonts w:ascii="Arial" w:hAnsi="Arial" w:cs="Arial"/>
          <w:b/>
          <w:sz w:val="20"/>
          <w:szCs w:val="20"/>
        </w:rPr>
        <w:t>9</w:t>
      </w:r>
      <w:r w:rsidR="004A55FE" w:rsidRPr="00230603">
        <w:rPr>
          <w:rFonts w:ascii="Arial" w:hAnsi="Arial" w:cs="Arial"/>
          <w:b/>
          <w:sz w:val="20"/>
          <w:szCs w:val="20"/>
        </w:rPr>
        <w:t xml:space="preserve">. </w:t>
      </w:r>
      <w:r w:rsidR="004A55FE">
        <w:rPr>
          <w:rFonts w:ascii="Arial" w:hAnsi="Arial" w:cs="Arial"/>
          <w:b/>
          <w:sz w:val="20"/>
          <w:szCs w:val="20"/>
        </w:rPr>
        <w:t xml:space="preserve">Denúncia. </w:t>
      </w:r>
      <w:r w:rsidR="004A55FE" w:rsidRPr="00813E93">
        <w:rPr>
          <w:rFonts w:ascii="Arial" w:hAnsi="Arial" w:cs="Arial"/>
          <w:b/>
          <w:sz w:val="20"/>
          <w:szCs w:val="20"/>
        </w:rPr>
        <w:t>Decreto Municipal regulamentando banco de</w:t>
      </w:r>
      <w:r w:rsidR="004A55FE">
        <w:rPr>
          <w:rFonts w:ascii="Arial" w:hAnsi="Arial" w:cs="Arial"/>
          <w:b/>
          <w:sz w:val="20"/>
          <w:szCs w:val="20"/>
        </w:rPr>
        <w:t xml:space="preserve"> </w:t>
      </w:r>
      <w:r w:rsidR="004A55FE" w:rsidRPr="00813E93">
        <w:rPr>
          <w:rFonts w:ascii="Arial" w:hAnsi="Arial" w:cs="Arial"/>
          <w:b/>
          <w:sz w:val="20"/>
          <w:szCs w:val="20"/>
        </w:rPr>
        <w:t>horas. Falta de previsão legal. Violação ao princípio da</w:t>
      </w:r>
      <w:r w:rsidR="004A55FE">
        <w:rPr>
          <w:rFonts w:ascii="Arial" w:hAnsi="Arial" w:cs="Arial"/>
          <w:b/>
          <w:sz w:val="20"/>
          <w:szCs w:val="20"/>
        </w:rPr>
        <w:t xml:space="preserve"> </w:t>
      </w:r>
      <w:r w:rsidR="004A55FE" w:rsidRPr="00813E93">
        <w:rPr>
          <w:rFonts w:ascii="Arial" w:hAnsi="Arial" w:cs="Arial"/>
          <w:b/>
          <w:sz w:val="20"/>
          <w:szCs w:val="20"/>
        </w:rPr>
        <w:t>legalidade. Pela procedência com aplicação de multa</w:t>
      </w:r>
      <w:r w:rsidR="004A55FE">
        <w:rPr>
          <w:rFonts w:ascii="Arial" w:hAnsi="Arial" w:cs="Arial"/>
          <w:b/>
          <w:sz w:val="20"/>
          <w:szCs w:val="20"/>
        </w:rPr>
        <w:t xml:space="preserve"> </w:t>
      </w:r>
      <w:r w:rsidR="004A55FE" w:rsidRPr="00813E93">
        <w:rPr>
          <w:rFonts w:ascii="Arial" w:hAnsi="Arial" w:cs="Arial"/>
          <w:b/>
          <w:sz w:val="20"/>
          <w:szCs w:val="20"/>
        </w:rPr>
        <w:t>administrativa e determinação.</w:t>
      </w:r>
    </w:p>
    <w:p w14:paraId="20567152" w14:textId="77777777" w:rsidR="004A55FE" w:rsidRDefault="004A55FE" w:rsidP="00A4051D">
      <w:pPr>
        <w:autoSpaceDE w:val="0"/>
        <w:autoSpaceDN w:val="0"/>
        <w:adjustRightInd w:val="0"/>
        <w:spacing w:after="0"/>
        <w:jc w:val="both"/>
        <w:rPr>
          <w:rFonts w:ascii="Arial" w:hAnsi="Arial" w:cs="Arial"/>
          <w:sz w:val="20"/>
          <w:szCs w:val="20"/>
        </w:rPr>
      </w:pPr>
    </w:p>
    <w:p w14:paraId="2F460BFD" w14:textId="77777777" w:rsidR="004A55FE" w:rsidRPr="00045D1F" w:rsidRDefault="004A55FE" w:rsidP="00A4051D">
      <w:pPr>
        <w:autoSpaceDE w:val="0"/>
        <w:autoSpaceDN w:val="0"/>
        <w:adjustRightInd w:val="0"/>
        <w:spacing w:after="0"/>
        <w:jc w:val="both"/>
        <w:rPr>
          <w:rFonts w:ascii="Arial" w:hAnsi="Arial" w:cs="Arial"/>
          <w:sz w:val="20"/>
          <w:szCs w:val="20"/>
        </w:rPr>
      </w:pPr>
      <w:r>
        <w:rPr>
          <w:rFonts w:ascii="Arial" w:hAnsi="Arial" w:cs="Arial"/>
          <w:sz w:val="20"/>
          <w:szCs w:val="20"/>
        </w:rPr>
        <w:t xml:space="preserve">O </w:t>
      </w:r>
      <w:r w:rsidRPr="00045D1F">
        <w:rPr>
          <w:rFonts w:ascii="Arial" w:hAnsi="Arial" w:cs="Arial"/>
          <w:sz w:val="20"/>
          <w:szCs w:val="20"/>
        </w:rPr>
        <w:t>Município, sem</w:t>
      </w:r>
      <w:r>
        <w:rPr>
          <w:rFonts w:ascii="Arial" w:hAnsi="Arial" w:cs="Arial"/>
          <w:sz w:val="20"/>
          <w:szCs w:val="20"/>
        </w:rPr>
        <w:t xml:space="preserve"> </w:t>
      </w:r>
      <w:r w:rsidRPr="00045D1F">
        <w:rPr>
          <w:rFonts w:ascii="Arial" w:hAnsi="Arial" w:cs="Arial"/>
          <w:sz w:val="20"/>
          <w:szCs w:val="20"/>
        </w:rPr>
        <w:t>previsão legal, criou banco de horas no âmbito do Executivo Municipal, em afronta</w:t>
      </w:r>
      <w:r>
        <w:rPr>
          <w:rFonts w:ascii="Arial" w:hAnsi="Arial" w:cs="Arial"/>
          <w:sz w:val="20"/>
          <w:szCs w:val="20"/>
        </w:rPr>
        <w:t xml:space="preserve"> </w:t>
      </w:r>
      <w:r w:rsidRPr="00045D1F">
        <w:rPr>
          <w:rFonts w:ascii="Arial" w:hAnsi="Arial" w:cs="Arial"/>
          <w:sz w:val="20"/>
          <w:szCs w:val="20"/>
        </w:rPr>
        <w:t>ao princípio da legalidade.</w:t>
      </w:r>
      <w:r>
        <w:rPr>
          <w:rFonts w:ascii="Arial" w:hAnsi="Arial" w:cs="Arial"/>
          <w:sz w:val="20"/>
          <w:szCs w:val="20"/>
        </w:rPr>
        <w:t xml:space="preserve"> </w:t>
      </w:r>
      <w:r w:rsidRPr="00045D1F">
        <w:rPr>
          <w:rFonts w:ascii="Arial" w:hAnsi="Arial" w:cs="Arial"/>
          <w:sz w:val="20"/>
          <w:szCs w:val="20"/>
        </w:rPr>
        <w:t>Embora a municipalidade tenha alegado que o fez mediante Decreto, que supostamente regulamentaria a Lei Complementar</w:t>
      </w:r>
      <w:r>
        <w:rPr>
          <w:rFonts w:ascii="Arial" w:hAnsi="Arial" w:cs="Arial"/>
          <w:sz w:val="20"/>
          <w:szCs w:val="20"/>
        </w:rPr>
        <w:t xml:space="preserve"> </w:t>
      </w:r>
      <w:r w:rsidRPr="00045D1F">
        <w:rPr>
          <w:rFonts w:ascii="Arial" w:hAnsi="Arial" w:cs="Arial"/>
          <w:sz w:val="20"/>
          <w:szCs w:val="20"/>
        </w:rPr>
        <w:t>Municipal (Estatuto do Servidor), é necessário destacar que</w:t>
      </w:r>
      <w:r>
        <w:rPr>
          <w:rFonts w:ascii="Arial" w:hAnsi="Arial" w:cs="Arial"/>
          <w:sz w:val="20"/>
          <w:szCs w:val="20"/>
        </w:rPr>
        <w:t xml:space="preserve"> </w:t>
      </w:r>
      <w:r w:rsidRPr="00045D1F">
        <w:rPr>
          <w:rFonts w:ascii="Arial" w:hAnsi="Arial" w:cs="Arial"/>
          <w:sz w:val="20"/>
          <w:szCs w:val="20"/>
        </w:rPr>
        <w:t xml:space="preserve">o conteúdo da referida lei </w:t>
      </w:r>
      <w:r w:rsidRPr="00A4051D">
        <w:rPr>
          <w:rFonts w:ascii="Arial" w:hAnsi="Arial" w:cs="Arial"/>
          <w:sz w:val="20"/>
          <w:szCs w:val="20"/>
        </w:rPr>
        <w:t xml:space="preserve">não </w:t>
      </w:r>
      <w:r w:rsidRPr="00045D1F">
        <w:rPr>
          <w:rFonts w:ascii="Arial" w:hAnsi="Arial" w:cs="Arial"/>
          <w:sz w:val="20"/>
          <w:szCs w:val="20"/>
        </w:rPr>
        <w:t>alberga a criação de um sistema de compensação por</w:t>
      </w:r>
      <w:r>
        <w:rPr>
          <w:rFonts w:ascii="Arial" w:hAnsi="Arial" w:cs="Arial"/>
          <w:sz w:val="20"/>
          <w:szCs w:val="20"/>
        </w:rPr>
        <w:t xml:space="preserve"> </w:t>
      </w:r>
      <w:r w:rsidRPr="00045D1F">
        <w:rPr>
          <w:rFonts w:ascii="Arial" w:hAnsi="Arial" w:cs="Arial"/>
          <w:sz w:val="20"/>
          <w:szCs w:val="20"/>
        </w:rPr>
        <w:t>banco de horas.</w:t>
      </w:r>
    </w:p>
    <w:p w14:paraId="2D46C167" w14:textId="77777777" w:rsidR="004A55FE" w:rsidRPr="00045D1F" w:rsidRDefault="004A55FE" w:rsidP="00A4051D">
      <w:pPr>
        <w:autoSpaceDE w:val="0"/>
        <w:autoSpaceDN w:val="0"/>
        <w:adjustRightInd w:val="0"/>
        <w:spacing w:after="0"/>
        <w:jc w:val="both"/>
        <w:rPr>
          <w:rFonts w:ascii="Arial" w:hAnsi="Arial" w:cs="Arial"/>
          <w:sz w:val="20"/>
          <w:szCs w:val="20"/>
        </w:rPr>
      </w:pPr>
    </w:p>
    <w:p w14:paraId="0E7653C1" w14:textId="77777777" w:rsidR="004A55FE" w:rsidRPr="00045D1F" w:rsidRDefault="004A55FE" w:rsidP="00A4051D">
      <w:pPr>
        <w:autoSpaceDE w:val="0"/>
        <w:autoSpaceDN w:val="0"/>
        <w:adjustRightInd w:val="0"/>
        <w:spacing w:after="0"/>
        <w:jc w:val="both"/>
        <w:rPr>
          <w:rFonts w:ascii="Arial" w:hAnsi="Arial" w:cs="Arial"/>
          <w:sz w:val="20"/>
          <w:szCs w:val="20"/>
        </w:rPr>
      </w:pPr>
      <w:r w:rsidRPr="00045D1F">
        <w:rPr>
          <w:rFonts w:ascii="Arial" w:hAnsi="Arial" w:cs="Arial"/>
          <w:sz w:val="20"/>
          <w:szCs w:val="20"/>
        </w:rPr>
        <w:t>Depreende-se do conteúdo legislativo supracitado que a</w:t>
      </w:r>
      <w:r>
        <w:rPr>
          <w:rFonts w:ascii="Arial" w:hAnsi="Arial" w:cs="Arial"/>
          <w:sz w:val="20"/>
          <w:szCs w:val="20"/>
        </w:rPr>
        <w:t xml:space="preserve"> </w:t>
      </w:r>
      <w:r w:rsidRPr="00045D1F">
        <w:rPr>
          <w:rFonts w:ascii="Arial" w:hAnsi="Arial" w:cs="Arial"/>
          <w:sz w:val="20"/>
          <w:szCs w:val="20"/>
        </w:rPr>
        <w:t>municipalidade autorizou, desde a edição da lei, a instituição de jornada de trabalho</w:t>
      </w:r>
      <w:r>
        <w:rPr>
          <w:rFonts w:ascii="Arial" w:hAnsi="Arial" w:cs="Arial"/>
          <w:sz w:val="20"/>
          <w:szCs w:val="20"/>
        </w:rPr>
        <w:t xml:space="preserve"> </w:t>
      </w:r>
      <w:r w:rsidRPr="00045D1F">
        <w:rPr>
          <w:rFonts w:ascii="Arial" w:hAnsi="Arial" w:cs="Arial"/>
          <w:sz w:val="20"/>
          <w:szCs w:val="20"/>
        </w:rPr>
        <w:t>diferenciada, isto é, possibilidade de flexibilização de horários de trabalho,</w:t>
      </w:r>
      <w:r>
        <w:rPr>
          <w:rFonts w:ascii="Arial" w:hAnsi="Arial" w:cs="Arial"/>
          <w:sz w:val="20"/>
          <w:szCs w:val="20"/>
        </w:rPr>
        <w:t xml:space="preserve"> </w:t>
      </w:r>
      <w:r w:rsidRPr="00045D1F">
        <w:rPr>
          <w:rFonts w:ascii="Arial" w:hAnsi="Arial" w:cs="Arial"/>
          <w:sz w:val="20"/>
          <w:szCs w:val="20"/>
        </w:rPr>
        <w:t>revezamentos e escalas diferenciadas no âmbito do município, em conformidade</w:t>
      </w:r>
      <w:r>
        <w:rPr>
          <w:rFonts w:ascii="Arial" w:hAnsi="Arial" w:cs="Arial"/>
          <w:sz w:val="20"/>
          <w:szCs w:val="20"/>
        </w:rPr>
        <w:t xml:space="preserve"> </w:t>
      </w:r>
      <w:r w:rsidRPr="00045D1F">
        <w:rPr>
          <w:rFonts w:ascii="Arial" w:hAnsi="Arial" w:cs="Arial"/>
          <w:sz w:val="20"/>
          <w:szCs w:val="20"/>
        </w:rPr>
        <w:t>com o serviço público prestado.</w:t>
      </w:r>
      <w:r>
        <w:rPr>
          <w:rFonts w:ascii="Arial" w:hAnsi="Arial" w:cs="Arial"/>
          <w:sz w:val="20"/>
          <w:szCs w:val="20"/>
        </w:rPr>
        <w:t xml:space="preserve"> </w:t>
      </w:r>
      <w:r w:rsidRPr="00045D1F">
        <w:rPr>
          <w:rFonts w:ascii="Arial" w:hAnsi="Arial" w:cs="Arial"/>
          <w:sz w:val="20"/>
          <w:szCs w:val="20"/>
        </w:rPr>
        <w:t>A criação do banco de horas, por outro lado, extrapola esta noção de</w:t>
      </w:r>
      <w:r>
        <w:rPr>
          <w:rFonts w:ascii="Arial" w:hAnsi="Arial" w:cs="Arial"/>
          <w:sz w:val="20"/>
          <w:szCs w:val="20"/>
        </w:rPr>
        <w:t xml:space="preserve"> </w:t>
      </w:r>
      <w:r w:rsidRPr="00045D1F">
        <w:rPr>
          <w:rFonts w:ascii="Arial" w:hAnsi="Arial" w:cs="Arial"/>
          <w:sz w:val="20"/>
          <w:szCs w:val="20"/>
        </w:rPr>
        <w:t>“jornada de trabalho diferenciada”, podendo, inclusive, causar futuros reflexos</w:t>
      </w:r>
      <w:r>
        <w:rPr>
          <w:rFonts w:ascii="Arial" w:hAnsi="Arial" w:cs="Arial"/>
          <w:sz w:val="20"/>
          <w:szCs w:val="20"/>
        </w:rPr>
        <w:t xml:space="preserve"> </w:t>
      </w:r>
      <w:r w:rsidRPr="00045D1F">
        <w:rPr>
          <w:rFonts w:ascii="Arial" w:hAnsi="Arial" w:cs="Arial"/>
          <w:sz w:val="20"/>
          <w:szCs w:val="20"/>
        </w:rPr>
        <w:t>pecuniários para o ente público denunciado.</w:t>
      </w:r>
    </w:p>
    <w:p w14:paraId="6C77C397" w14:textId="77777777" w:rsidR="004A55FE" w:rsidRDefault="004A55FE" w:rsidP="00A4051D">
      <w:pPr>
        <w:autoSpaceDE w:val="0"/>
        <w:autoSpaceDN w:val="0"/>
        <w:adjustRightInd w:val="0"/>
        <w:spacing w:after="0"/>
        <w:jc w:val="both"/>
        <w:rPr>
          <w:rFonts w:ascii="Arial" w:hAnsi="Arial" w:cs="Arial"/>
          <w:sz w:val="20"/>
          <w:szCs w:val="20"/>
        </w:rPr>
      </w:pPr>
    </w:p>
    <w:p w14:paraId="499765B3" w14:textId="77777777" w:rsidR="004A55FE" w:rsidRDefault="004A55FE" w:rsidP="00A4051D">
      <w:pPr>
        <w:autoSpaceDE w:val="0"/>
        <w:autoSpaceDN w:val="0"/>
        <w:adjustRightInd w:val="0"/>
        <w:spacing w:after="0"/>
        <w:jc w:val="both"/>
        <w:rPr>
          <w:rFonts w:ascii="Arial" w:hAnsi="Arial" w:cs="Arial"/>
          <w:sz w:val="20"/>
          <w:szCs w:val="20"/>
        </w:rPr>
      </w:pPr>
      <w:r w:rsidRPr="00045D1F">
        <w:rPr>
          <w:rFonts w:ascii="Arial" w:hAnsi="Arial" w:cs="Arial"/>
          <w:sz w:val="20"/>
          <w:szCs w:val="20"/>
        </w:rPr>
        <w:t>O regime de trabalho com banco de horas não altera, em sua</w:t>
      </w:r>
      <w:r>
        <w:rPr>
          <w:rFonts w:ascii="Arial" w:hAnsi="Arial" w:cs="Arial"/>
          <w:sz w:val="20"/>
          <w:szCs w:val="20"/>
        </w:rPr>
        <w:t xml:space="preserve"> </w:t>
      </w:r>
      <w:r w:rsidRPr="00045D1F">
        <w:rPr>
          <w:rFonts w:ascii="Arial" w:hAnsi="Arial" w:cs="Arial"/>
          <w:sz w:val="20"/>
          <w:szCs w:val="20"/>
        </w:rPr>
        <w:t>essência, a jornada de trabalho, apenas permite, mediante os limites e condições</w:t>
      </w:r>
      <w:r>
        <w:rPr>
          <w:rFonts w:ascii="Arial" w:hAnsi="Arial" w:cs="Arial"/>
          <w:sz w:val="20"/>
          <w:szCs w:val="20"/>
        </w:rPr>
        <w:t xml:space="preserve"> </w:t>
      </w:r>
      <w:r w:rsidRPr="00045D1F">
        <w:rPr>
          <w:rFonts w:ascii="Arial" w:hAnsi="Arial" w:cs="Arial"/>
          <w:sz w:val="20"/>
          <w:szCs w:val="20"/>
        </w:rPr>
        <w:t>pré-estabelecidas, que o servidor não tenha fixados os marcos de início e fim de</w:t>
      </w:r>
      <w:r>
        <w:rPr>
          <w:rFonts w:ascii="Arial" w:hAnsi="Arial" w:cs="Arial"/>
          <w:sz w:val="20"/>
          <w:szCs w:val="20"/>
        </w:rPr>
        <w:t xml:space="preserve"> </w:t>
      </w:r>
      <w:r w:rsidRPr="00045D1F">
        <w:rPr>
          <w:rFonts w:ascii="Arial" w:hAnsi="Arial" w:cs="Arial"/>
          <w:sz w:val="20"/>
          <w:szCs w:val="20"/>
        </w:rPr>
        <w:t>expediente, ou seja, permite que o servidor cumpra sua jornada mediante regime de</w:t>
      </w:r>
      <w:r>
        <w:rPr>
          <w:rFonts w:ascii="Arial" w:hAnsi="Arial" w:cs="Arial"/>
          <w:sz w:val="20"/>
          <w:szCs w:val="20"/>
        </w:rPr>
        <w:t xml:space="preserve"> </w:t>
      </w:r>
      <w:r w:rsidRPr="00045D1F">
        <w:rPr>
          <w:rFonts w:ascii="Arial" w:hAnsi="Arial" w:cs="Arial"/>
          <w:sz w:val="20"/>
          <w:szCs w:val="20"/>
        </w:rPr>
        <w:t>compensação de horário.</w:t>
      </w:r>
      <w:r>
        <w:rPr>
          <w:rFonts w:ascii="Arial" w:hAnsi="Arial" w:cs="Arial"/>
          <w:sz w:val="20"/>
          <w:szCs w:val="20"/>
        </w:rPr>
        <w:t xml:space="preserve"> </w:t>
      </w:r>
      <w:r w:rsidRPr="00045D1F">
        <w:rPr>
          <w:rFonts w:ascii="Arial" w:hAnsi="Arial" w:cs="Arial"/>
          <w:sz w:val="20"/>
          <w:szCs w:val="20"/>
        </w:rPr>
        <w:t>Ocorre, todavia, que o tema “banco de horas” não é tratado em</w:t>
      </w:r>
      <w:r>
        <w:rPr>
          <w:rFonts w:ascii="Arial" w:hAnsi="Arial" w:cs="Arial"/>
          <w:sz w:val="20"/>
          <w:szCs w:val="20"/>
        </w:rPr>
        <w:t xml:space="preserve"> </w:t>
      </w:r>
      <w:r w:rsidRPr="00045D1F">
        <w:rPr>
          <w:rFonts w:ascii="Arial" w:hAnsi="Arial" w:cs="Arial"/>
          <w:sz w:val="20"/>
          <w:szCs w:val="20"/>
        </w:rPr>
        <w:t>nenhuma ocasião ou hipótese pela lei municipal, motivo pelo qual entend</w:t>
      </w:r>
      <w:r>
        <w:rPr>
          <w:rFonts w:ascii="Arial" w:hAnsi="Arial" w:cs="Arial"/>
          <w:sz w:val="20"/>
          <w:szCs w:val="20"/>
        </w:rPr>
        <w:t>e-se</w:t>
      </w:r>
      <w:r w:rsidRPr="00045D1F">
        <w:rPr>
          <w:rFonts w:ascii="Arial" w:hAnsi="Arial" w:cs="Arial"/>
          <w:sz w:val="20"/>
          <w:szCs w:val="20"/>
        </w:rPr>
        <w:t xml:space="preserve"> que</w:t>
      </w:r>
      <w:r>
        <w:rPr>
          <w:rFonts w:ascii="Arial" w:hAnsi="Arial" w:cs="Arial"/>
          <w:sz w:val="20"/>
          <w:szCs w:val="20"/>
        </w:rPr>
        <w:t xml:space="preserve"> </w:t>
      </w:r>
      <w:r w:rsidRPr="00045D1F">
        <w:rPr>
          <w:rFonts w:ascii="Arial" w:hAnsi="Arial" w:cs="Arial"/>
          <w:sz w:val="20"/>
          <w:szCs w:val="20"/>
        </w:rPr>
        <w:t>houve clara violação ao princípio da legalidade.</w:t>
      </w:r>
      <w:r>
        <w:rPr>
          <w:rFonts w:ascii="Arial" w:hAnsi="Arial" w:cs="Arial"/>
          <w:sz w:val="20"/>
          <w:szCs w:val="20"/>
        </w:rPr>
        <w:t xml:space="preserve"> </w:t>
      </w:r>
      <w:r w:rsidRPr="00045D1F">
        <w:rPr>
          <w:rFonts w:ascii="Arial" w:hAnsi="Arial" w:cs="Arial"/>
          <w:sz w:val="20"/>
          <w:szCs w:val="20"/>
        </w:rPr>
        <w:t>Cumpre informar, ainda, que o Decreto, cuja eficácia foi</w:t>
      </w:r>
      <w:r>
        <w:rPr>
          <w:rFonts w:ascii="Arial" w:hAnsi="Arial" w:cs="Arial"/>
          <w:sz w:val="20"/>
          <w:szCs w:val="20"/>
        </w:rPr>
        <w:t xml:space="preserve"> </w:t>
      </w:r>
      <w:r w:rsidRPr="00045D1F">
        <w:rPr>
          <w:rFonts w:ascii="Arial" w:hAnsi="Arial" w:cs="Arial"/>
          <w:sz w:val="20"/>
          <w:szCs w:val="20"/>
        </w:rPr>
        <w:t xml:space="preserve">suspendida cautelarmente por esta Corte de Contas, também teve sua eficácia suspensa por decisão </w:t>
      </w:r>
      <w:r>
        <w:rPr>
          <w:rFonts w:ascii="Arial" w:hAnsi="Arial" w:cs="Arial"/>
          <w:sz w:val="20"/>
          <w:szCs w:val="20"/>
        </w:rPr>
        <w:t>judicial e</w:t>
      </w:r>
      <w:r w:rsidRPr="00045D1F">
        <w:rPr>
          <w:rFonts w:ascii="Arial" w:hAnsi="Arial" w:cs="Arial"/>
          <w:sz w:val="20"/>
          <w:szCs w:val="20"/>
        </w:rPr>
        <w:t>m ação</w:t>
      </w:r>
      <w:r>
        <w:rPr>
          <w:rFonts w:ascii="Arial" w:hAnsi="Arial" w:cs="Arial"/>
          <w:sz w:val="20"/>
          <w:szCs w:val="20"/>
        </w:rPr>
        <w:t xml:space="preserve"> </w:t>
      </w:r>
      <w:r w:rsidRPr="00045D1F">
        <w:rPr>
          <w:rFonts w:ascii="Arial" w:hAnsi="Arial" w:cs="Arial"/>
          <w:sz w:val="20"/>
          <w:szCs w:val="20"/>
        </w:rPr>
        <w:t>judicial de iniciativa do Sindicato dos Servidores Municipais em face do</w:t>
      </w:r>
      <w:r>
        <w:rPr>
          <w:rFonts w:ascii="Arial" w:hAnsi="Arial" w:cs="Arial"/>
          <w:sz w:val="20"/>
          <w:szCs w:val="20"/>
        </w:rPr>
        <w:t xml:space="preserve"> </w:t>
      </w:r>
      <w:r w:rsidRPr="00045D1F">
        <w:rPr>
          <w:rFonts w:ascii="Arial" w:hAnsi="Arial" w:cs="Arial"/>
          <w:sz w:val="20"/>
          <w:szCs w:val="20"/>
        </w:rPr>
        <w:t>Município</w:t>
      </w:r>
      <w:r>
        <w:rPr>
          <w:rFonts w:ascii="Arial" w:hAnsi="Arial" w:cs="Arial"/>
          <w:sz w:val="20"/>
          <w:szCs w:val="20"/>
        </w:rPr>
        <w:t>.</w:t>
      </w:r>
    </w:p>
    <w:p w14:paraId="502568F5" w14:textId="77777777" w:rsidR="004A55FE" w:rsidRPr="00045D1F" w:rsidRDefault="004A55FE" w:rsidP="00A4051D">
      <w:pPr>
        <w:autoSpaceDE w:val="0"/>
        <w:autoSpaceDN w:val="0"/>
        <w:adjustRightInd w:val="0"/>
        <w:spacing w:after="0"/>
        <w:jc w:val="both"/>
        <w:rPr>
          <w:rFonts w:ascii="Arial" w:hAnsi="Arial" w:cs="Arial"/>
          <w:sz w:val="20"/>
          <w:szCs w:val="20"/>
        </w:rPr>
      </w:pPr>
    </w:p>
    <w:p w14:paraId="46384C2E" w14:textId="77777777" w:rsidR="004A55FE" w:rsidRDefault="004A55FE" w:rsidP="00A4051D">
      <w:pPr>
        <w:autoSpaceDE w:val="0"/>
        <w:autoSpaceDN w:val="0"/>
        <w:adjustRightInd w:val="0"/>
        <w:spacing w:after="0"/>
        <w:jc w:val="both"/>
        <w:rPr>
          <w:rFonts w:ascii="Arial" w:hAnsi="Arial" w:cs="Arial"/>
          <w:sz w:val="20"/>
          <w:szCs w:val="20"/>
        </w:rPr>
      </w:pPr>
      <w:r w:rsidRPr="00045D1F">
        <w:rPr>
          <w:rFonts w:ascii="Arial" w:hAnsi="Arial" w:cs="Arial"/>
          <w:sz w:val="20"/>
          <w:szCs w:val="20"/>
        </w:rPr>
        <w:lastRenderedPageBreak/>
        <w:t>Ainda não há decisão definitiva de mérito no Poder Judiciário. Contudo, o</w:t>
      </w:r>
      <w:r>
        <w:rPr>
          <w:rFonts w:ascii="Arial" w:hAnsi="Arial" w:cs="Arial"/>
          <w:sz w:val="20"/>
          <w:szCs w:val="20"/>
        </w:rPr>
        <w:t xml:space="preserve"> </w:t>
      </w:r>
      <w:r w:rsidRPr="00045D1F">
        <w:rPr>
          <w:rFonts w:ascii="Arial" w:hAnsi="Arial" w:cs="Arial"/>
          <w:sz w:val="20"/>
          <w:szCs w:val="20"/>
        </w:rPr>
        <w:t>Agravo de Instrumento interposto para reverter a decisão cautelar de suspensão do</w:t>
      </w:r>
      <w:r>
        <w:rPr>
          <w:rFonts w:ascii="Arial" w:hAnsi="Arial" w:cs="Arial"/>
          <w:sz w:val="20"/>
          <w:szCs w:val="20"/>
        </w:rPr>
        <w:t xml:space="preserve"> </w:t>
      </w:r>
      <w:r w:rsidRPr="00045D1F">
        <w:rPr>
          <w:rFonts w:ascii="Arial" w:hAnsi="Arial" w:cs="Arial"/>
          <w:sz w:val="20"/>
          <w:szCs w:val="20"/>
        </w:rPr>
        <w:t>Decreto foi julgado improcedente.</w:t>
      </w:r>
      <w:r>
        <w:rPr>
          <w:rFonts w:ascii="Arial" w:hAnsi="Arial" w:cs="Arial"/>
          <w:sz w:val="20"/>
          <w:szCs w:val="20"/>
        </w:rPr>
        <w:t xml:space="preserve"> </w:t>
      </w:r>
      <w:r w:rsidRPr="00045D1F">
        <w:rPr>
          <w:rFonts w:ascii="Arial" w:hAnsi="Arial" w:cs="Arial"/>
          <w:sz w:val="20"/>
          <w:szCs w:val="20"/>
        </w:rPr>
        <w:t>Diante do exposto, considerando a ausência de previsão legal para</w:t>
      </w:r>
      <w:r>
        <w:rPr>
          <w:rFonts w:ascii="Arial" w:hAnsi="Arial" w:cs="Arial"/>
          <w:sz w:val="20"/>
          <w:szCs w:val="20"/>
        </w:rPr>
        <w:t xml:space="preserve"> </w:t>
      </w:r>
      <w:r w:rsidRPr="00045D1F">
        <w:rPr>
          <w:rFonts w:ascii="Arial" w:hAnsi="Arial" w:cs="Arial"/>
          <w:sz w:val="20"/>
          <w:szCs w:val="20"/>
        </w:rPr>
        <w:t>regulamentação do banco de horas no Município</w:t>
      </w:r>
      <w:r w:rsidRPr="00A4051D">
        <w:rPr>
          <w:rFonts w:ascii="Arial" w:hAnsi="Arial" w:cs="Arial"/>
          <w:sz w:val="20"/>
          <w:szCs w:val="20"/>
        </w:rPr>
        <w:t xml:space="preserve">, </w:t>
      </w:r>
      <w:r w:rsidRPr="00045D1F">
        <w:rPr>
          <w:rFonts w:ascii="Arial" w:hAnsi="Arial" w:cs="Arial"/>
          <w:sz w:val="20"/>
          <w:szCs w:val="20"/>
        </w:rPr>
        <w:t>pela</w:t>
      </w:r>
      <w:r>
        <w:rPr>
          <w:rFonts w:ascii="Arial" w:hAnsi="Arial" w:cs="Arial"/>
          <w:sz w:val="20"/>
          <w:szCs w:val="20"/>
        </w:rPr>
        <w:t xml:space="preserve"> </w:t>
      </w:r>
      <w:r w:rsidRPr="00A4051D">
        <w:rPr>
          <w:rFonts w:ascii="Arial" w:hAnsi="Arial" w:cs="Arial"/>
          <w:sz w:val="20"/>
          <w:szCs w:val="20"/>
        </w:rPr>
        <w:t xml:space="preserve">procedência </w:t>
      </w:r>
      <w:r w:rsidRPr="00045D1F">
        <w:rPr>
          <w:rFonts w:ascii="Arial" w:hAnsi="Arial" w:cs="Arial"/>
          <w:sz w:val="20"/>
          <w:szCs w:val="20"/>
        </w:rPr>
        <w:t>da presente Representação, com aplicação da multa prevista no artigo</w:t>
      </w:r>
      <w:r>
        <w:rPr>
          <w:rFonts w:ascii="Arial" w:hAnsi="Arial" w:cs="Arial"/>
          <w:sz w:val="20"/>
          <w:szCs w:val="20"/>
        </w:rPr>
        <w:t xml:space="preserve"> </w:t>
      </w:r>
      <w:r w:rsidRPr="00045D1F">
        <w:rPr>
          <w:rFonts w:ascii="Arial" w:hAnsi="Arial" w:cs="Arial"/>
          <w:sz w:val="20"/>
          <w:szCs w:val="20"/>
        </w:rPr>
        <w:t xml:space="preserve">87, inciso IV, alínea “g”, da Lei Complementar nº 113/05 ao </w:t>
      </w:r>
      <w:r>
        <w:rPr>
          <w:rFonts w:ascii="Arial" w:hAnsi="Arial" w:cs="Arial"/>
          <w:sz w:val="20"/>
          <w:szCs w:val="20"/>
        </w:rPr>
        <w:t xml:space="preserve">Prefeito Municipal e determinação </w:t>
      </w:r>
      <w:r w:rsidRPr="00045D1F">
        <w:rPr>
          <w:rFonts w:ascii="Arial" w:hAnsi="Arial" w:cs="Arial"/>
          <w:sz w:val="20"/>
          <w:szCs w:val="20"/>
        </w:rPr>
        <w:t>ao Município que adote as</w:t>
      </w:r>
      <w:r>
        <w:rPr>
          <w:rFonts w:ascii="Arial" w:hAnsi="Arial" w:cs="Arial"/>
          <w:sz w:val="20"/>
          <w:szCs w:val="20"/>
        </w:rPr>
        <w:t xml:space="preserve"> </w:t>
      </w:r>
      <w:r w:rsidRPr="00045D1F">
        <w:rPr>
          <w:rFonts w:ascii="Arial" w:hAnsi="Arial" w:cs="Arial"/>
          <w:sz w:val="20"/>
          <w:szCs w:val="20"/>
        </w:rPr>
        <w:t>providências necessárias para, no prazo de 30 (trinta) dias, revogar os artigos 23 a</w:t>
      </w:r>
      <w:r>
        <w:rPr>
          <w:rFonts w:ascii="Arial" w:hAnsi="Arial" w:cs="Arial"/>
          <w:sz w:val="20"/>
          <w:szCs w:val="20"/>
        </w:rPr>
        <w:t xml:space="preserve"> </w:t>
      </w:r>
      <w:r w:rsidRPr="00045D1F">
        <w:rPr>
          <w:rFonts w:ascii="Arial" w:hAnsi="Arial" w:cs="Arial"/>
          <w:sz w:val="20"/>
          <w:szCs w:val="20"/>
        </w:rPr>
        <w:t>29 do Decreto nº 929/2018.</w:t>
      </w:r>
    </w:p>
    <w:p w14:paraId="78CF5DFE" w14:textId="77777777" w:rsidR="004A55FE" w:rsidRDefault="004A55FE" w:rsidP="00A4051D">
      <w:pPr>
        <w:autoSpaceDE w:val="0"/>
        <w:autoSpaceDN w:val="0"/>
        <w:adjustRightInd w:val="0"/>
        <w:spacing w:after="0"/>
        <w:jc w:val="both"/>
        <w:rPr>
          <w:rFonts w:ascii="Arial" w:hAnsi="Arial" w:cs="Arial"/>
          <w:sz w:val="20"/>
          <w:szCs w:val="20"/>
        </w:rPr>
      </w:pPr>
    </w:p>
    <w:p w14:paraId="4655DEF2" w14:textId="77777777" w:rsidR="004A55FE" w:rsidRDefault="004A55FE" w:rsidP="00A4051D">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608708/17</w:t>
      </w:r>
      <w:r w:rsidRPr="00230603">
        <w:rPr>
          <w:rFonts w:ascii="Arial" w:hAnsi="Arial" w:cs="Arial"/>
          <w:sz w:val="20"/>
          <w:szCs w:val="20"/>
        </w:rPr>
        <w:t xml:space="preserve"> –</w:t>
      </w:r>
      <w:hyperlink r:id="rId16" w:history="1">
        <w:r w:rsidRPr="00367A18">
          <w:rPr>
            <w:rStyle w:val="Hyperlink"/>
            <w:rFonts w:ascii="Arial" w:hAnsi="Arial" w:cs="Arial"/>
            <w:sz w:val="20"/>
            <w:szCs w:val="20"/>
          </w:rPr>
          <w:t xml:space="preserve"> Acórdão nº 1843/19 – Tribunal Pleno</w:t>
        </w:r>
      </w:hyperlink>
      <w:r w:rsidRPr="00230603">
        <w:rPr>
          <w:rFonts w:ascii="Arial" w:hAnsi="Arial" w:cs="Arial"/>
          <w:sz w:val="20"/>
          <w:szCs w:val="20"/>
        </w:rPr>
        <w:t xml:space="preserve"> - Relator </w:t>
      </w:r>
      <w:r>
        <w:rPr>
          <w:rFonts w:ascii="Arial" w:hAnsi="Arial" w:cs="Arial"/>
          <w:sz w:val="20"/>
          <w:szCs w:val="20"/>
        </w:rPr>
        <w:t xml:space="preserve">Conselheiro Ivan </w:t>
      </w:r>
      <w:proofErr w:type="spellStart"/>
      <w:r>
        <w:rPr>
          <w:rFonts w:ascii="Arial" w:hAnsi="Arial" w:cs="Arial"/>
          <w:sz w:val="20"/>
          <w:szCs w:val="20"/>
        </w:rPr>
        <w:t>Lelis</w:t>
      </w:r>
      <w:proofErr w:type="spellEnd"/>
      <w:r>
        <w:rPr>
          <w:rFonts w:ascii="Arial" w:hAnsi="Arial" w:cs="Arial"/>
          <w:sz w:val="20"/>
          <w:szCs w:val="20"/>
        </w:rPr>
        <w:t xml:space="preserve"> Bonilha.</w:t>
      </w:r>
    </w:p>
    <w:p w14:paraId="7865D57F" w14:textId="77777777" w:rsidR="004A55FE" w:rsidRPr="00BE7ED0" w:rsidRDefault="004A55FE" w:rsidP="00A4051D">
      <w:pPr>
        <w:autoSpaceDE w:val="0"/>
        <w:autoSpaceDN w:val="0"/>
        <w:adjustRightInd w:val="0"/>
        <w:spacing w:after="0"/>
        <w:jc w:val="both"/>
        <w:rPr>
          <w:rFonts w:ascii="Arial" w:hAnsi="Arial" w:cs="Arial"/>
          <w:sz w:val="20"/>
          <w:szCs w:val="20"/>
        </w:rPr>
      </w:pPr>
    </w:p>
    <w:p w14:paraId="4A70CAD0" w14:textId="362E850F" w:rsidR="007C18E7" w:rsidRPr="00BE7ED0" w:rsidRDefault="007C18E7" w:rsidP="00A4051D">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Observações: </w:t>
      </w:r>
    </w:p>
    <w:p w14:paraId="6421775C" w14:textId="77777777" w:rsidR="007C18E7" w:rsidRPr="00BE7ED0" w:rsidRDefault="007C18E7" w:rsidP="00A4051D">
      <w:pPr>
        <w:spacing w:after="0"/>
        <w:rPr>
          <w:rFonts w:ascii="Arial" w:hAnsi="Arial" w:cs="Arial"/>
          <w:b/>
          <w:color w:val="000000"/>
          <w:sz w:val="20"/>
          <w:szCs w:val="20"/>
        </w:rPr>
      </w:pPr>
      <w:r w:rsidRPr="00BE7ED0">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15E1555D" w14:textId="77777777" w:rsidR="00C31BD9" w:rsidRPr="00BE7ED0" w:rsidRDefault="00C31BD9" w:rsidP="00A4051D">
      <w:pPr>
        <w:spacing w:after="0"/>
        <w:rPr>
          <w:rFonts w:ascii="Arial" w:hAnsi="Arial" w:cs="Arial"/>
          <w:color w:val="000000"/>
          <w:sz w:val="20"/>
          <w:szCs w:val="20"/>
        </w:rPr>
      </w:pPr>
    </w:p>
    <w:p w14:paraId="72ECF08A" w14:textId="538E51B4" w:rsidR="007C18E7" w:rsidRPr="00BE7ED0" w:rsidRDefault="007C18E7" w:rsidP="00A4051D">
      <w:pPr>
        <w:spacing w:after="0"/>
        <w:rPr>
          <w:rFonts w:ascii="Arial" w:hAnsi="Arial" w:cs="Arial"/>
          <w:color w:val="000000"/>
          <w:sz w:val="20"/>
          <w:szCs w:val="20"/>
        </w:rPr>
      </w:pPr>
      <w:r w:rsidRPr="00BE7ED0">
        <w:rPr>
          <w:rFonts w:ascii="Arial" w:hAnsi="Arial" w:cs="Arial"/>
          <w:color w:val="000000"/>
          <w:sz w:val="20"/>
          <w:szCs w:val="20"/>
        </w:rPr>
        <w:t xml:space="preserve">Jurisprudência Selecionada: </w:t>
      </w:r>
    </w:p>
    <w:p w14:paraId="6A58012F" w14:textId="68785C33" w:rsidR="0056381E" w:rsidRDefault="0056381E" w:rsidP="00A4051D">
      <w:pPr>
        <w:autoSpaceDE w:val="0"/>
        <w:autoSpaceDN w:val="0"/>
        <w:adjustRightInd w:val="0"/>
        <w:spacing w:after="0"/>
        <w:jc w:val="both"/>
        <w:rPr>
          <w:rFonts w:ascii="Arial" w:hAnsi="Arial" w:cs="Arial"/>
          <w:sz w:val="20"/>
          <w:szCs w:val="20"/>
        </w:rPr>
      </w:pPr>
    </w:p>
    <w:p w14:paraId="6C75F95A" w14:textId="2708669B" w:rsidR="008C72F2" w:rsidRDefault="00EC79AC" w:rsidP="00A4051D">
      <w:pPr>
        <w:autoSpaceDE w:val="0"/>
        <w:autoSpaceDN w:val="0"/>
        <w:adjustRightInd w:val="0"/>
        <w:spacing w:after="0"/>
        <w:jc w:val="both"/>
        <w:rPr>
          <w:rFonts w:ascii="Arial" w:hAnsi="Arial" w:cs="Arial"/>
          <w:sz w:val="20"/>
          <w:szCs w:val="20"/>
        </w:rPr>
      </w:pPr>
      <w:r>
        <w:rPr>
          <w:rFonts w:ascii="Arial" w:hAnsi="Arial" w:cs="Arial"/>
          <w:sz w:val="20"/>
          <w:szCs w:val="20"/>
        </w:rPr>
        <w:t>Tribunal de Contas da União</w:t>
      </w:r>
    </w:p>
    <w:p w14:paraId="08550335" w14:textId="77777777" w:rsidR="00C831A3" w:rsidRDefault="00C831A3" w:rsidP="00A4051D">
      <w:pPr>
        <w:autoSpaceDE w:val="0"/>
        <w:autoSpaceDN w:val="0"/>
        <w:adjustRightInd w:val="0"/>
        <w:spacing w:after="0"/>
        <w:jc w:val="both"/>
        <w:rPr>
          <w:rFonts w:ascii="Arial" w:hAnsi="Arial" w:cs="Arial"/>
          <w:sz w:val="20"/>
          <w:szCs w:val="20"/>
        </w:rPr>
      </w:pPr>
    </w:p>
    <w:p w14:paraId="54CE37C6" w14:textId="77777777" w:rsidR="00D92ACC" w:rsidRDefault="00D92ACC" w:rsidP="00A4051D">
      <w:pPr>
        <w:autoSpaceDE w:val="0"/>
        <w:autoSpaceDN w:val="0"/>
        <w:adjustRightInd w:val="0"/>
        <w:spacing w:after="0"/>
        <w:jc w:val="both"/>
        <w:rPr>
          <w:rFonts w:ascii="Arial" w:hAnsi="Arial" w:cs="Arial"/>
          <w:sz w:val="20"/>
          <w:szCs w:val="20"/>
        </w:rPr>
      </w:pPr>
      <w:r w:rsidRPr="00D92ACC">
        <w:rPr>
          <w:rFonts w:ascii="Arial" w:hAnsi="Arial" w:cs="Arial"/>
          <w:sz w:val="20"/>
          <w:szCs w:val="20"/>
        </w:rPr>
        <w:t xml:space="preserve">AUDITORIA OPERACIONAL NA SECRETARIA ESPECIAL DA RECEITA FEDERAL, TENDO POR OBJETO DUAS GRANDES QUESTÕES: PRIMEIRA: AUDITABILIDADE DO SISTEMA TRIBUTÁRIO NACIONAL, COM FOCO NA SECRETARIA DA RECEITA FEDERAL; SEGUNDA: TRANSPARÊNCIA DAS INFORMAÇÕES PRESTADAS À SOCIEDADE. DIVERSOS ACHADOS DE AUDITORIA QUE REVELAM A INJUSTIFICADA NEGATIVA DE PRESTAÇÃO DE INFORMAÇÕES AO TCU. DETERMINAÇÕES. RECOMENDAÇÕES. </w:t>
      </w:r>
    </w:p>
    <w:p w14:paraId="1567DAE0" w14:textId="725F8069" w:rsidR="00B268CE" w:rsidRDefault="00D92ACC" w:rsidP="00A4051D">
      <w:pPr>
        <w:autoSpaceDE w:val="0"/>
        <w:autoSpaceDN w:val="0"/>
        <w:adjustRightInd w:val="0"/>
        <w:spacing w:after="0"/>
        <w:jc w:val="both"/>
        <w:rPr>
          <w:rFonts w:ascii="Arial" w:hAnsi="Arial" w:cs="Arial"/>
          <w:sz w:val="20"/>
          <w:szCs w:val="20"/>
        </w:rPr>
      </w:pPr>
      <w:r w:rsidRPr="00D92ACC">
        <w:rPr>
          <w:rFonts w:ascii="Arial" w:hAnsi="Arial" w:cs="Arial"/>
          <w:sz w:val="20"/>
          <w:szCs w:val="20"/>
        </w:rPr>
        <w:t xml:space="preserve">Em decorrência da negativa da SRF em prestar informações ao TCU, R$ 5,75 trilhões, por ano, não são auditáveis pelo Tribunal, o que priva a sociedade de ter acesso a informações sobre a gestão pública tributária, no tocante ao estoque de créditos tributários e de dívida ativa, às receitas arrecadadas, às renúncias de receitas e às demandas judiciais de natureza tributária; - A Secretaria da Receita Federal, sem qualquer previsão no Código Tributário Nacional, mas apenas por meio de simples contrato administrativo, concede acesso e gerenciamento de toda a base de dados, incluindo todos os dados protegidos por sigilo fiscal, ao Serpro e à </w:t>
      </w:r>
      <w:proofErr w:type="spellStart"/>
      <w:r w:rsidRPr="00D92ACC">
        <w:rPr>
          <w:rFonts w:ascii="Arial" w:hAnsi="Arial" w:cs="Arial"/>
          <w:sz w:val="20"/>
          <w:szCs w:val="20"/>
        </w:rPr>
        <w:t>Dataprev</w:t>
      </w:r>
      <w:proofErr w:type="spellEnd"/>
      <w:r w:rsidRPr="00D92ACC">
        <w:rPr>
          <w:rFonts w:ascii="Arial" w:hAnsi="Arial" w:cs="Arial"/>
          <w:sz w:val="20"/>
          <w:szCs w:val="20"/>
        </w:rPr>
        <w:t xml:space="preserve">, para fins de prestação de serviços de tecnologia da informação; - De forma semelhante, mesmo sem expressa previsão no Código Tributário Nacional, a Secretaria da Receita Federal permite que a Advocacia-Geral da União e a Procuradoria-Geral da Fazenda Nacional, por força de pareceres técnicos, acessem, em variados graus, os sistemas e informações protegidos por sigilo fiscal, para fins de defesa dos interesses da União em processos administrativos e judiciais; - O CARF (Conselho Administrativo de Recursos Fiscais), cuja metade da composição não é formada por Auditores concursados da Secretaria da Receita Federal, mas sim por Conselheiros indicados pelas Confederações e Centrais Sindicais para mandato de 2 anos, tem acesso a dados protegidos pelo sigilo fiscal, embora não seja mencionado no Código Tributário Nacional como órgão legitimado para tanto; - Mais grave ainda é o fato de o CARF franquear o acesso a dados protegidos pelo sigilo fiscal a estagiários, terceirizados e entidades privadas prestadoras </w:t>
      </w:r>
      <w:r w:rsidRPr="00D92ACC">
        <w:rPr>
          <w:rFonts w:ascii="Arial" w:hAnsi="Arial" w:cs="Arial"/>
          <w:sz w:val="20"/>
          <w:szCs w:val="20"/>
        </w:rPr>
        <w:lastRenderedPageBreak/>
        <w:t xml:space="preserve">de serviços para o CARF, tudo sem autorização no Código Tributário Nacional; - Em relação ao TCU, porém, a Secretaria da Receita Federal, sob a alegação de sigilo fiscal, se recusa a fornecer inúmeras informações solicitadas por esta Corte, o que já provocou a inviabilização de nada menos do que 122 trabalhos de auditoria e fiscalização realizados pelo Tribunal naquela Secretaria; - Há mais de quarenta anos, no entanto, as normas internacionais de auditoria determinam que as Entidades de Fiscalização Superior, tal como é o TCU, devem ter poderes para auditar a cobrança de impostos da forma mais extensa possível, podendo, inclusive, examinar arquivos fiscais individuais, assim como dispõem que, ao auditarem a aplicação de leis fiscais, os referidos órgãos de controle externo devem examinar o sistema e a eficiência da cobrança de impostos, a consecução de metas de receita e devem propor melhorias ao legislativo, se assim entenderem adequado; - A Secretaria da Receita Federal, com essa relutância e sempre sob a alegação de sigilo, passa a ser o único órgão público da República que não se submete ao controle externo estabelecido pela Constituição Federal; - O TCU tem, historicamente, auditado órgãos e entidades públicos que lidam com matérias sigilosas e, por essa razão, tem adotado procedimentos devidamente regulamentados que garantem a proteção dos dados e informações sigilosos, mas sem subtrair da sociedade o direito à informação acerca da gestão pública; - Não obstante o sistema tributário e o sistema financeiro estejam no âmbito do Ministério da Economia, é contraditório o tratamento dado à </w:t>
      </w:r>
      <w:proofErr w:type="spellStart"/>
      <w:r w:rsidRPr="00D92ACC">
        <w:rPr>
          <w:rFonts w:ascii="Arial" w:hAnsi="Arial" w:cs="Arial"/>
          <w:sz w:val="20"/>
          <w:szCs w:val="20"/>
        </w:rPr>
        <w:t>auditabilidade</w:t>
      </w:r>
      <w:proofErr w:type="spellEnd"/>
      <w:r w:rsidRPr="00D92ACC">
        <w:rPr>
          <w:rFonts w:ascii="Arial" w:hAnsi="Arial" w:cs="Arial"/>
          <w:sz w:val="20"/>
          <w:szCs w:val="20"/>
        </w:rPr>
        <w:t xml:space="preserve"> por esses dois sistemas, porquanto o sistema financeiro, embora também lide com matérias sigilosas, é completamente auditado, pois a prática da auditoria independente no Sistema Financeiro Nacional demonstra que é possível compatibilizar a auditoria de informações sigilosas com a preservação do sigilo, e que não há ilegalidade no compartilhamento de informações para fins de auditoria independente; - A </w:t>
      </w:r>
      <w:proofErr w:type="spellStart"/>
      <w:r w:rsidRPr="00D92ACC">
        <w:rPr>
          <w:rFonts w:ascii="Arial" w:hAnsi="Arial" w:cs="Arial"/>
          <w:sz w:val="20"/>
          <w:szCs w:val="20"/>
        </w:rPr>
        <w:t>auditabilidade</w:t>
      </w:r>
      <w:proofErr w:type="spellEnd"/>
      <w:r w:rsidRPr="00D92ACC">
        <w:rPr>
          <w:rFonts w:ascii="Arial" w:hAnsi="Arial" w:cs="Arial"/>
          <w:sz w:val="20"/>
          <w:szCs w:val="20"/>
        </w:rPr>
        <w:t xml:space="preserve"> das administrações tributárias dos Estados, do Distrito Federal e dos Municípios também tem sido inviabilizada pela recusa desses entes subnacionais, sob a alegação de sigilo fiscal, em fornecer as informações solicitadas pelos órgãos de controle externo, o que impede o controle das políticas públicas de desonerações fiscais e aumenta os riscos fiscais da União, tendo em vista as medidas que a União tem adotado no sentido de conceder alívio financeiro a esses entes subnacionais, na busca do equilíbrio fiscal; - Considerando que nos modernos Estados Democráticos de Direito as administrações tributárias são completamente auditadas, a negativa da Secretaria da Receita Federal de conceder ao TCU acesso a sistemas, dados e informações protegidas por sigilo fiscal provoca grave prejuízo à </w:t>
      </w:r>
      <w:proofErr w:type="spellStart"/>
      <w:r w:rsidRPr="00D92ACC">
        <w:rPr>
          <w:rFonts w:ascii="Arial" w:hAnsi="Arial" w:cs="Arial"/>
          <w:sz w:val="20"/>
          <w:szCs w:val="20"/>
        </w:rPr>
        <w:t>auditabilidade</w:t>
      </w:r>
      <w:proofErr w:type="spellEnd"/>
      <w:r w:rsidRPr="00D92ACC">
        <w:rPr>
          <w:rFonts w:ascii="Arial" w:hAnsi="Arial" w:cs="Arial"/>
          <w:sz w:val="20"/>
          <w:szCs w:val="20"/>
        </w:rPr>
        <w:t xml:space="preserve"> e à transparência do sistema tributário nacional e produz reflexos negativos na credibilidade do Brasil perante à comunidade internacional, com impacto nas aspirações do país de ingressar e participar dos mecanismos multilaterais de cooperação; - Em relação a diversas informações públicas, a Secretaria da Receita Federal promove uma classificação inadequada e as considera sigilosas, razão pela qual não realiza a sua divulgação ativa, de forma aberta, estruturada e legível por máquina, o que, além de revelar grave ofensa aos princípios da transparência e da publicidade, acaba por permitir que apenas grandes escritórios de advocacia e contabilidade tributária, que trabalham em larga escala, tenham visão privilegiada do entendimento da atuação da administração tributária, o que cria um ambiente de negócios restritivo, aumenta os custos de transação e torna inacessíveis para a maior parte da população informações hoje concentradas nas mãos de poucos agentes; - As interpretações restritivas </w:t>
      </w:r>
      <w:r w:rsidRPr="00D92ACC">
        <w:rPr>
          <w:rFonts w:ascii="Arial" w:hAnsi="Arial" w:cs="Arial"/>
          <w:sz w:val="20"/>
          <w:szCs w:val="20"/>
        </w:rPr>
        <w:lastRenderedPageBreak/>
        <w:t xml:space="preserve">conferidas pela Secretaria da Receita Federal acerca do alcance do compartilhamento de informações protegidas por sigilo fiscal com o TCU provocam prejuízos à formulação e à avaliação das políticas públicas nacionais previstas nas leis orçamentárias, impactando a eficiência da prestação dos serviços públicos essenciais à população e a estabilidade das finanças públicas nacionais; - O TCU tem competência para ter acesso a dados protegidos por sigilo fiscal, por não se tratar de quebra de sigilo, mas sim de transferência de sigilo ao órgão de controle externo que tem adotado as medidas necessárias para a proteção das informações sigilosas. Precedentes do STF; - Manifestação formal do Ministério da Economia dirigida ao gabinete do relator no sentido de que aquele ministério já está adotando providências para viabilizar a </w:t>
      </w:r>
      <w:proofErr w:type="spellStart"/>
      <w:r w:rsidRPr="00D92ACC">
        <w:rPr>
          <w:rFonts w:ascii="Arial" w:hAnsi="Arial" w:cs="Arial"/>
          <w:sz w:val="20"/>
          <w:szCs w:val="20"/>
        </w:rPr>
        <w:t>auditabilidade</w:t>
      </w:r>
      <w:proofErr w:type="spellEnd"/>
      <w:r w:rsidRPr="00D92ACC">
        <w:rPr>
          <w:rFonts w:ascii="Arial" w:hAnsi="Arial" w:cs="Arial"/>
          <w:sz w:val="20"/>
          <w:szCs w:val="20"/>
        </w:rPr>
        <w:t xml:space="preserve"> da Secretaria da Receita Federal, sem obstruções, mediante compartilhamento de informações. - Determinações e recomendações ao Ministério da Economia à Secretaria da Receita Federal, entre outras providências.</w:t>
      </w:r>
    </w:p>
    <w:p w14:paraId="0880D9D4" w14:textId="72781205" w:rsidR="00627847" w:rsidRDefault="009E6273" w:rsidP="00A4051D">
      <w:pPr>
        <w:autoSpaceDE w:val="0"/>
        <w:autoSpaceDN w:val="0"/>
        <w:adjustRightInd w:val="0"/>
        <w:spacing w:after="0"/>
        <w:jc w:val="both"/>
        <w:rPr>
          <w:rFonts w:ascii="Arial" w:hAnsi="Arial" w:cs="Arial"/>
          <w:sz w:val="20"/>
          <w:szCs w:val="20"/>
        </w:rPr>
      </w:pPr>
      <w:hyperlink r:id="rId17" w:anchor="/documento/acordao-completo/1174/%20/DTRELEVANCIA%20desc,%20NUMACORDAOINT%20desc/1/%20?uuid=6fbbce60-bd16-11e9-bdcf-db33c3e8f735" w:history="1">
        <w:r w:rsidR="00D92ACC" w:rsidRPr="00D92ACC">
          <w:rPr>
            <w:rStyle w:val="Hyperlink"/>
            <w:rFonts w:ascii="Arial" w:hAnsi="Arial" w:cs="Arial"/>
            <w:sz w:val="20"/>
            <w:szCs w:val="20"/>
          </w:rPr>
          <w:t>Acórdão nº 1174/2019 – Plenário</w:t>
        </w:r>
      </w:hyperlink>
      <w:r w:rsidR="00D92ACC">
        <w:rPr>
          <w:rFonts w:ascii="Arial" w:hAnsi="Arial" w:cs="Arial"/>
          <w:sz w:val="20"/>
          <w:szCs w:val="20"/>
        </w:rPr>
        <w:t>. Relator Ministro Raimundo Carneiro.</w:t>
      </w:r>
    </w:p>
    <w:p w14:paraId="69C3DA1A" w14:textId="77777777" w:rsidR="00D92ACC" w:rsidRDefault="00D92ACC" w:rsidP="00A4051D">
      <w:pPr>
        <w:autoSpaceDE w:val="0"/>
        <w:autoSpaceDN w:val="0"/>
        <w:adjustRightInd w:val="0"/>
        <w:spacing w:after="0"/>
        <w:jc w:val="both"/>
        <w:rPr>
          <w:rFonts w:ascii="Arial" w:hAnsi="Arial" w:cs="Arial"/>
          <w:sz w:val="20"/>
          <w:szCs w:val="20"/>
        </w:rPr>
      </w:pPr>
    </w:p>
    <w:p w14:paraId="252D7D0D" w14:textId="77777777" w:rsidR="007C18E7" w:rsidRPr="00BE7ED0" w:rsidRDefault="007C18E7" w:rsidP="00A4051D">
      <w:pPr>
        <w:pStyle w:val="Default"/>
        <w:spacing w:line="276" w:lineRule="auto"/>
        <w:jc w:val="both"/>
        <w:rPr>
          <w:b/>
          <w:sz w:val="20"/>
          <w:szCs w:val="20"/>
        </w:rPr>
      </w:pPr>
      <w:r w:rsidRPr="00BE7ED0">
        <w:rPr>
          <w:b/>
          <w:sz w:val="20"/>
          <w:szCs w:val="20"/>
        </w:rPr>
        <w:t xml:space="preserve">Acesse também: </w:t>
      </w:r>
    </w:p>
    <w:p w14:paraId="5D2329DF" w14:textId="77777777" w:rsidR="007C18E7" w:rsidRPr="00BE7ED0" w:rsidRDefault="009E6273" w:rsidP="00A4051D">
      <w:pPr>
        <w:pStyle w:val="Default"/>
        <w:spacing w:line="276" w:lineRule="auto"/>
        <w:jc w:val="center"/>
        <w:rPr>
          <w:rStyle w:val="Hyperlink"/>
          <w:b/>
          <w:sz w:val="20"/>
          <w:szCs w:val="20"/>
        </w:rPr>
      </w:pPr>
      <w:hyperlink r:id="rId18" w:history="1">
        <w:r w:rsidR="007C18E7" w:rsidRPr="00BE7ED0">
          <w:rPr>
            <w:rStyle w:val="Hyperlink"/>
            <w:b/>
            <w:sz w:val="20"/>
            <w:szCs w:val="20"/>
          </w:rPr>
          <w:t>Pesquisas Prontas</w:t>
        </w:r>
      </w:hyperlink>
    </w:p>
    <w:p w14:paraId="290A3B29" w14:textId="77777777" w:rsidR="007C18E7" w:rsidRPr="00BE7ED0" w:rsidRDefault="007C18E7" w:rsidP="00A4051D">
      <w:pPr>
        <w:pStyle w:val="Default"/>
        <w:spacing w:line="276" w:lineRule="auto"/>
        <w:jc w:val="center"/>
        <w:rPr>
          <w:rStyle w:val="Hyperlink"/>
          <w:b/>
          <w:sz w:val="20"/>
          <w:szCs w:val="20"/>
        </w:rPr>
      </w:pPr>
    </w:p>
    <w:p w14:paraId="088C63FF" w14:textId="77777777" w:rsidR="007C18E7" w:rsidRPr="00BE7ED0" w:rsidRDefault="009E6273" w:rsidP="00A4051D">
      <w:pPr>
        <w:pStyle w:val="Default"/>
        <w:spacing w:line="276" w:lineRule="auto"/>
        <w:jc w:val="center"/>
        <w:rPr>
          <w:rStyle w:val="Hyperlink"/>
          <w:b/>
          <w:sz w:val="20"/>
          <w:szCs w:val="20"/>
        </w:rPr>
      </w:pPr>
      <w:hyperlink r:id="rId19" w:history="1">
        <w:r w:rsidR="007C18E7" w:rsidRPr="00BE7ED0">
          <w:rPr>
            <w:rStyle w:val="Hyperlink"/>
            <w:b/>
            <w:sz w:val="20"/>
            <w:szCs w:val="20"/>
          </w:rPr>
          <w:t>Teses Ambientais</w:t>
        </w:r>
      </w:hyperlink>
      <w:r w:rsidR="007C18E7" w:rsidRPr="00BE7ED0">
        <w:rPr>
          <w:rStyle w:val="Hyperlink"/>
          <w:b/>
          <w:sz w:val="20"/>
          <w:szCs w:val="20"/>
        </w:rPr>
        <w:t xml:space="preserve"> </w:t>
      </w:r>
    </w:p>
    <w:p w14:paraId="0CE4E7C9" w14:textId="77777777" w:rsidR="007C18E7" w:rsidRPr="00BE7ED0" w:rsidRDefault="007C18E7" w:rsidP="00A4051D">
      <w:pPr>
        <w:pStyle w:val="Default"/>
        <w:spacing w:line="276" w:lineRule="auto"/>
        <w:jc w:val="center"/>
        <w:rPr>
          <w:rStyle w:val="Hyperlink"/>
          <w:b/>
          <w:sz w:val="20"/>
          <w:szCs w:val="20"/>
        </w:rPr>
      </w:pPr>
    </w:p>
    <w:p w14:paraId="449CBBB2" w14:textId="77777777" w:rsidR="007C18E7" w:rsidRPr="00BE7ED0" w:rsidRDefault="009E6273" w:rsidP="00A4051D">
      <w:pPr>
        <w:pStyle w:val="Default"/>
        <w:spacing w:line="276" w:lineRule="auto"/>
        <w:jc w:val="center"/>
        <w:rPr>
          <w:b/>
          <w:sz w:val="20"/>
          <w:szCs w:val="20"/>
        </w:rPr>
      </w:pPr>
      <w:hyperlink r:id="rId20" w:history="1">
        <w:proofErr w:type="spellStart"/>
        <w:r w:rsidR="007C18E7" w:rsidRPr="00BE7ED0">
          <w:rPr>
            <w:rStyle w:val="Hyperlink"/>
            <w:b/>
            <w:sz w:val="20"/>
            <w:szCs w:val="20"/>
          </w:rPr>
          <w:t>Interjuris</w:t>
        </w:r>
        <w:proofErr w:type="spellEnd"/>
      </w:hyperlink>
    </w:p>
    <w:p w14:paraId="4BD985E9" w14:textId="77777777" w:rsidR="007C18E7" w:rsidRPr="00BE7ED0" w:rsidRDefault="007C18E7" w:rsidP="00A4051D">
      <w:pPr>
        <w:pStyle w:val="Default"/>
        <w:spacing w:line="276" w:lineRule="auto"/>
        <w:jc w:val="center"/>
        <w:rPr>
          <w:sz w:val="20"/>
          <w:szCs w:val="20"/>
        </w:rPr>
      </w:pPr>
    </w:p>
    <w:p w14:paraId="72F32B36" w14:textId="77777777" w:rsidR="007C18E7" w:rsidRPr="00BE7ED0" w:rsidRDefault="009E6273" w:rsidP="00A4051D">
      <w:pPr>
        <w:pStyle w:val="Default"/>
        <w:spacing w:line="276" w:lineRule="auto"/>
        <w:jc w:val="center"/>
        <w:rPr>
          <w:rStyle w:val="Hyperlink"/>
          <w:b/>
          <w:sz w:val="20"/>
          <w:szCs w:val="20"/>
        </w:rPr>
      </w:pPr>
      <w:hyperlink r:id="rId21" w:history="1">
        <w:r w:rsidR="007C18E7" w:rsidRPr="00BE7ED0">
          <w:rPr>
            <w:rStyle w:val="Hyperlink"/>
            <w:b/>
            <w:sz w:val="20"/>
            <w:szCs w:val="20"/>
          </w:rPr>
          <w:t>Repercussão Geral do Supremo Tribunal Federal - STF e os Tribunais de Contas</w:t>
        </w:r>
      </w:hyperlink>
    </w:p>
    <w:p w14:paraId="75CDA236" w14:textId="77777777" w:rsidR="007C18E7" w:rsidRPr="00BE7ED0" w:rsidRDefault="007C18E7" w:rsidP="00A4051D">
      <w:pPr>
        <w:pStyle w:val="Default"/>
        <w:spacing w:line="276" w:lineRule="auto"/>
        <w:jc w:val="center"/>
        <w:rPr>
          <w:rStyle w:val="Hyperlink"/>
          <w:b/>
          <w:sz w:val="20"/>
          <w:szCs w:val="20"/>
        </w:rPr>
      </w:pPr>
    </w:p>
    <w:p w14:paraId="6CD4EB86" w14:textId="77777777" w:rsidR="007C18E7" w:rsidRPr="00BE7ED0" w:rsidRDefault="009E6273" w:rsidP="00A4051D">
      <w:pPr>
        <w:pStyle w:val="Default"/>
        <w:spacing w:line="276" w:lineRule="auto"/>
        <w:jc w:val="center"/>
        <w:rPr>
          <w:rStyle w:val="Hyperlink"/>
          <w:b/>
          <w:sz w:val="20"/>
          <w:szCs w:val="20"/>
        </w:rPr>
      </w:pPr>
      <w:hyperlink r:id="rId22" w:history="1">
        <w:r w:rsidR="007C18E7" w:rsidRPr="00BE7ED0">
          <w:rPr>
            <w:rStyle w:val="Hyperlink"/>
            <w:b/>
            <w:sz w:val="20"/>
            <w:szCs w:val="20"/>
          </w:rPr>
          <w:t>Súmulas Selecionadas</w:t>
        </w:r>
      </w:hyperlink>
    </w:p>
    <w:p w14:paraId="3F5C61E6" w14:textId="77777777" w:rsidR="007C18E7" w:rsidRPr="00BE7ED0" w:rsidRDefault="007C18E7" w:rsidP="00A4051D">
      <w:pPr>
        <w:pStyle w:val="TCU-Epgrafe"/>
        <w:spacing w:line="276" w:lineRule="auto"/>
        <w:ind w:left="0"/>
        <w:rPr>
          <w:rFonts w:ascii="Arial" w:hAnsi="Arial" w:cs="Arial"/>
          <w:sz w:val="20"/>
        </w:rPr>
      </w:pPr>
      <w:r w:rsidRPr="00BE7ED0">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BE7ED0" w:rsidRDefault="007C18E7" w:rsidP="00A4051D">
      <w:pPr>
        <w:spacing w:after="0"/>
        <w:jc w:val="center"/>
        <w:rPr>
          <w:rStyle w:val="Hyperlink"/>
          <w:rFonts w:ascii="Arial" w:hAnsi="Arial" w:cs="Arial"/>
          <w:i/>
          <w:color w:val="000000" w:themeColor="text1"/>
          <w:sz w:val="20"/>
          <w:szCs w:val="20"/>
          <w:u w:val="none"/>
        </w:rPr>
      </w:pPr>
    </w:p>
    <w:p w14:paraId="5496FD6E" w14:textId="77777777" w:rsidR="007C18E7" w:rsidRPr="00BE7ED0" w:rsidRDefault="007C18E7" w:rsidP="00A4051D">
      <w:pPr>
        <w:spacing w:after="0"/>
        <w:jc w:val="center"/>
        <w:rPr>
          <w:rStyle w:val="Hyperlink"/>
          <w:rFonts w:ascii="Arial" w:hAnsi="Arial" w:cs="Arial"/>
          <w:i/>
          <w:color w:val="auto"/>
          <w:sz w:val="20"/>
          <w:szCs w:val="20"/>
          <w:u w:val="none"/>
        </w:rPr>
      </w:pPr>
      <w:r w:rsidRPr="00BE7ED0">
        <w:rPr>
          <w:rStyle w:val="Hyperlink"/>
          <w:rFonts w:ascii="Arial" w:hAnsi="Arial" w:cs="Arial"/>
          <w:i/>
          <w:color w:val="auto"/>
          <w:sz w:val="20"/>
          <w:szCs w:val="20"/>
          <w:u w:val="none"/>
        </w:rPr>
        <w:t>Elaboração: Escola de Gestão Pública - Jurisprudência</w:t>
      </w:r>
    </w:p>
    <w:p w14:paraId="3F85483E" w14:textId="77777777" w:rsidR="007C18E7" w:rsidRPr="00BE7ED0" w:rsidRDefault="007C18E7" w:rsidP="00A4051D">
      <w:pPr>
        <w:spacing w:after="0"/>
        <w:jc w:val="center"/>
        <w:rPr>
          <w:rFonts w:ascii="Arial" w:hAnsi="Arial" w:cs="Arial"/>
          <w:b/>
          <w:sz w:val="20"/>
          <w:szCs w:val="20"/>
        </w:rPr>
      </w:pPr>
      <w:r w:rsidRPr="00BE7ED0">
        <w:rPr>
          <w:rStyle w:val="nfase"/>
          <w:rFonts w:ascii="Arial" w:hAnsi="Arial" w:cs="Arial"/>
          <w:sz w:val="20"/>
          <w:szCs w:val="20"/>
        </w:rPr>
        <w:t>E-mail: jurisprudencia@tce.pr.gov.br</w:t>
      </w:r>
    </w:p>
    <w:p w14:paraId="77313FD9" w14:textId="77777777" w:rsidR="007C18E7" w:rsidRPr="00BE7ED0" w:rsidRDefault="007C18E7" w:rsidP="00A4051D">
      <w:pPr>
        <w:widowControl w:val="0"/>
        <w:autoSpaceDE w:val="0"/>
        <w:autoSpaceDN w:val="0"/>
        <w:spacing w:after="0"/>
        <w:jc w:val="both"/>
        <w:rPr>
          <w:rFonts w:ascii="Arial" w:hAnsi="Arial" w:cs="Arial"/>
          <w:b/>
          <w:sz w:val="20"/>
          <w:szCs w:val="20"/>
        </w:rPr>
      </w:pPr>
    </w:p>
    <w:p w14:paraId="376B530E" w14:textId="77777777" w:rsidR="007C18E7" w:rsidRPr="00BE7ED0" w:rsidRDefault="007C18E7" w:rsidP="00A4051D">
      <w:pPr>
        <w:spacing w:after="0"/>
        <w:rPr>
          <w:rFonts w:ascii="Arial" w:hAnsi="Arial" w:cs="Arial"/>
          <w:color w:val="000000"/>
          <w:sz w:val="20"/>
          <w:szCs w:val="20"/>
        </w:rPr>
      </w:pPr>
    </w:p>
    <w:p w14:paraId="2B5E173B" w14:textId="77777777" w:rsidR="00E01524" w:rsidRPr="00BE7ED0" w:rsidRDefault="00E01524" w:rsidP="00A4051D">
      <w:pPr>
        <w:spacing w:after="0"/>
        <w:rPr>
          <w:rFonts w:ascii="Arial" w:hAnsi="Arial" w:cs="Arial"/>
          <w:sz w:val="20"/>
          <w:szCs w:val="20"/>
        </w:rPr>
      </w:pPr>
    </w:p>
    <w:sectPr w:rsidR="00E01524" w:rsidRPr="00BE7ED0">
      <w:headerReference w:type="default" r:id="rId23"/>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11"/>
  </w:num>
  <w:num w:numId="5">
    <w:abstractNumId w:val="14"/>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 w:numId="13">
    <w:abstractNumId w:val="12"/>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372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3502C"/>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F9F"/>
    <w:rsid w:val="00074287"/>
    <w:rsid w:val="000747BF"/>
    <w:rsid w:val="00074FAB"/>
    <w:rsid w:val="000759E5"/>
    <w:rsid w:val="00076184"/>
    <w:rsid w:val="000800D1"/>
    <w:rsid w:val="00081051"/>
    <w:rsid w:val="00081B5D"/>
    <w:rsid w:val="00082716"/>
    <w:rsid w:val="0008272B"/>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B78DD"/>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211A"/>
    <w:rsid w:val="00122E13"/>
    <w:rsid w:val="00123D02"/>
    <w:rsid w:val="0012498C"/>
    <w:rsid w:val="00124A0F"/>
    <w:rsid w:val="00126447"/>
    <w:rsid w:val="00127DF2"/>
    <w:rsid w:val="0013071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D7"/>
    <w:rsid w:val="001529D8"/>
    <w:rsid w:val="00154C6F"/>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87BD5"/>
    <w:rsid w:val="001901A8"/>
    <w:rsid w:val="00190B94"/>
    <w:rsid w:val="001930D1"/>
    <w:rsid w:val="001942C5"/>
    <w:rsid w:val="00196437"/>
    <w:rsid w:val="001975AB"/>
    <w:rsid w:val="001A0FCC"/>
    <w:rsid w:val="001A16DE"/>
    <w:rsid w:val="001A5D2D"/>
    <w:rsid w:val="001A7DB7"/>
    <w:rsid w:val="001B096B"/>
    <w:rsid w:val="001B5B65"/>
    <w:rsid w:val="001B5F7A"/>
    <w:rsid w:val="001B609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0476A"/>
    <w:rsid w:val="00204BFC"/>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14DC"/>
    <w:rsid w:val="00252A2A"/>
    <w:rsid w:val="00252AA5"/>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604C"/>
    <w:rsid w:val="003407F0"/>
    <w:rsid w:val="00340EB2"/>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145D"/>
    <w:rsid w:val="003B2612"/>
    <w:rsid w:val="003B4678"/>
    <w:rsid w:val="003B4F77"/>
    <w:rsid w:val="003B502C"/>
    <w:rsid w:val="003C48DF"/>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4BFB"/>
    <w:rsid w:val="003F5060"/>
    <w:rsid w:val="003F5829"/>
    <w:rsid w:val="003F5DEE"/>
    <w:rsid w:val="003F63DA"/>
    <w:rsid w:val="003F677C"/>
    <w:rsid w:val="003F7090"/>
    <w:rsid w:val="00401EE0"/>
    <w:rsid w:val="004043AD"/>
    <w:rsid w:val="0040583E"/>
    <w:rsid w:val="00405A6A"/>
    <w:rsid w:val="00406D2C"/>
    <w:rsid w:val="0041120A"/>
    <w:rsid w:val="00411935"/>
    <w:rsid w:val="0041337A"/>
    <w:rsid w:val="00415D4A"/>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4763"/>
    <w:rsid w:val="005C4DB7"/>
    <w:rsid w:val="005C5DC8"/>
    <w:rsid w:val="005C632C"/>
    <w:rsid w:val="005C661E"/>
    <w:rsid w:val="005C7258"/>
    <w:rsid w:val="005D05C6"/>
    <w:rsid w:val="005D1E9E"/>
    <w:rsid w:val="005D23BC"/>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204C"/>
    <w:rsid w:val="00623188"/>
    <w:rsid w:val="00626DD6"/>
    <w:rsid w:val="0062719D"/>
    <w:rsid w:val="00627316"/>
    <w:rsid w:val="00627847"/>
    <w:rsid w:val="00627FDF"/>
    <w:rsid w:val="00630296"/>
    <w:rsid w:val="006331E3"/>
    <w:rsid w:val="00633776"/>
    <w:rsid w:val="00633C62"/>
    <w:rsid w:val="00633D2D"/>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5764C"/>
    <w:rsid w:val="00657DDD"/>
    <w:rsid w:val="00660C02"/>
    <w:rsid w:val="0066104E"/>
    <w:rsid w:val="0066130F"/>
    <w:rsid w:val="00662CE0"/>
    <w:rsid w:val="0066398B"/>
    <w:rsid w:val="006641F4"/>
    <w:rsid w:val="006645D9"/>
    <w:rsid w:val="006650FB"/>
    <w:rsid w:val="006657BF"/>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5E72"/>
    <w:rsid w:val="006B6205"/>
    <w:rsid w:val="006B7CCB"/>
    <w:rsid w:val="006C058F"/>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4C5B"/>
    <w:rsid w:val="00726974"/>
    <w:rsid w:val="007270DB"/>
    <w:rsid w:val="007306BB"/>
    <w:rsid w:val="007319AD"/>
    <w:rsid w:val="00731AB4"/>
    <w:rsid w:val="00732257"/>
    <w:rsid w:val="00734DDB"/>
    <w:rsid w:val="007400EB"/>
    <w:rsid w:val="00740240"/>
    <w:rsid w:val="0074037C"/>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18E7"/>
    <w:rsid w:val="007C250E"/>
    <w:rsid w:val="007C2CD7"/>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373"/>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B1C"/>
    <w:rsid w:val="008B2D64"/>
    <w:rsid w:val="008B368E"/>
    <w:rsid w:val="008B38A4"/>
    <w:rsid w:val="008B38EE"/>
    <w:rsid w:val="008B4F2F"/>
    <w:rsid w:val="008B55B4"/>
    <w:rsid w:val="008B6A00"/>
    <w:rsid w:val="008C0269"/>
    <w:rsid w:val="008C076F"/>
    <w:rsid w:val="008C257C"/>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40F9"/>
    <w:rsid w:val="00904136"/>
    <w:rsid w:val="00904309"/>
    <w:rsid w:val="0090479F"/>
    <w:rsid w:val="00904BFC"/>
    <w:rsid w:val="009052D8"/>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206"/>
    <w:rsid w:val="0093167C"/>
    <w:rsid w:val="009328B6"/>
    <w:rsid w:val="00932A3A"/>
    <w:rsid w:val="00933B64"/>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328F"/>
    <w:rsid w:val="00965F52"/>
    <w:rsid w:val="0096737A"/>
    <w:rsid w:val="0097392A"/>
    <w:rsid w:val="00973970"/>
    <w:rsid w:val="00973D15"/>
    <w:rsid w:val="009749C0"/>
    <w:rsid w:val="009766BD"/>
    <w:rsid w:val="00977C0A"/>
    <w:rsid w:val="00977E1A"/>
    <w:rsid w:val="00982FF8"/>
    <w:rsid w:val="00984E8B"/>
    <w:rsid w:val="0098512F"/>
    <w:rsid w:val="0098550A"/>
    <w:rsid w:val="00985728"/>
    <w:rsid w:val="009857DD"/>
    <w:rsid w:val="009859AB"/>
    <w:rsid w:val="00987A4E"/>
    <w:rsid w:val="009907A9"/>
    <w:rsid w:val="00993DE4"/>
    <w:rsid w:val="00993F38"/>
    <w:rsid w:val="00994A4B"/>
    <w:rsid w:val="0099606C"/>
    <w:rsid w:val="00996D25"/>
    <w:rsid w:val="009A043C"/>
    <w:rsid w:val="009A12ED"/>
    <w:rsid w:val="009A201F"/>
    <w:rsid w:val="009A62FC"/>
    <w:rsid w:val="009A6989"/>
    <w:rsid w:val="009A72EB"/>
    <w:rsid w:val="009B105E"/>
    <w:rsid w:val="009B1133"/>
    <w:rsid w:val="009B2B4E"/>
    <w:rsid w:val="009B396E"/>
    <w:rsid w:val="009B39A2"/>
    <w:rsid w:val="009B3B97"/>
    <w:rsid w:val="009B49F3"/>
    <w:rsid w:val="009B4E5D"/>
    <w:rsid w:val="009B567A"/>
    <w:rsid w:val="009C29C5"/>
    <w:rsid w:val="009C4680"/>
    <w:rsid w:val="009C5426"/>
    <w:rsid w:val="009C5C75"/>
    <w:rsid w:val="009D1C23"/>
    <w:rsid w:val="009D2A29"/>
    <w:rsid w:val="009D417F"/>
    <w:rsid w:val="009D59DE"/>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EF3"/>
    <w:rsid w:val="00B268CE"/>
    <w:rsid w:val="00B27853"/>
    <w:rsid w:val="00B30291"/>
    <w:rsid w:val="00B306F7"/>
    <w:rsid w:val="00B30BB8"/>
    <w:rsid w:val="00B30FE2"/>
    <w:rsid w:val="00B3272E"/>
    <w:rsid w:val="00B32C71"/>
    <w:rsid w:val="00B330C4"/>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669D"/>
    <w:rsid w:val="00B766D9"/>
    <w:rsid w:val="00B80A28"/>
    <w:rsid w:val="00B82B41"/>
    <w:rsid w:val="00B82D73"/>
    <w:rsid w:val="00B84A2C"/>
    <w:rsid w:val="00B871D6"/>
    <w:rsid w:val="00B87A02"/>
    <w:rsid w:val="00B93557"/>
    <w:rsid w:val="00B93C23"/>
    <w:rsid w:val="00B96204"/>
    <w:rsid w:val="00B97B4D"/>
    <w:rsid w:val="00BA0DCC"/>
    <w:rsid w:val="00BA12A2"/>
    <w:rsid w:val="00BA16EF"/>
    <w:rsid w:val="00BA18D0"/>
    <w:rsid w:val="00BA242E"/>
    <w:rsid w:val="00BA2ABF"/>
    <w:rsid w:val="00BA3317"/>
    <w:rsid w:val="00BA5A9D"/>
    <w:rsid w:val="00BA6363"/>
    <w:rsid w:val="00BB2D9C"/>
    <w:rsid w:val="00BB3512"/>
    <w:rsid w:val="00BB5AA4"/>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B9D"/>
    <w:rsid w:val="00CA184E"/>
    <w:rsid w:val="00CA23C4"/>
    <w:rsid w:val="00CA575F"/>
    <w:rsid w:val="00CA5AEC"/>
    <w:rsid w:val="00CA6114"/>
    <w:rsid w:val="00CA704A"/>
    <w:rsid w:val="00CB0797"/>
    <w:rsid w:val="00CB21FF"/>
    <w:rsid w:val="00CB2527"/>
    <w:rsid w:val="00CB5CAE"/>
    <w:rsid w:val="00CB644C"/>
    <w:rsid w:val="00CB6CAA"/>
    <w:rsid w:val="00CB78ED"/>
    <w:rsid w:val="00CC0004"/>
    <w:rsid w:val="00CC19A0"/>
    <w:rsid w:val="00CC4E55"/>
    <w:rsid w:val="00CC550E"/>
    <w:rsid w:val="00CC5AC6"/>
    <w:rsid w:val="00CD0DCE"/>
    <w:rsid w:val="00CD1628"/>
    <w:rsid w:val="00CD1D27"/>
    <w:rsid w:val="00CD27B7"/>
    <w:rsid w:val="00CD286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06531"/>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5EE7"/>
    <w:rsid w:val="00DE7183"/>
    <w:rsid w:val="00DF1DAC"/>
    <w:rsid w:val="00DF2165"/>
    <w:rsid w:val="00DF5A24"/>
    <w:rsid w:val="00DF60E6"/>
    <w:rsid w:val="00DF6105"/>
    <w:rsid w:val="00DF659E"/>
    <w:rsid w:val="00DF65F7"/>
    <w:rsid w:val="00DF7D50"/>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7D3"/>
    <w:rsid w:val="00E61E36"/>
    <w:rsid w:val="00E633C1"/>
    <w:rsid w:val="00E65532"/>
    <w:rsid w:val="00E667B0"/>
    <w:rsid w:val="00E66EA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280F"/>
    <w:rsid w:val="00E93C8B"/>
    <w:rsid w:val="00E93D8F"/>
    <w:rsid w:val="00E9531E"/>
    <w:rsid w:val="00E95E41"/>
    <w:rsid w:val="00E95E4C"/>
    <w:rsid w:val="00E977CE"/>
    <w:rsid w:val="00E97E0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E15B5"/>
    <w:rsid w:val="00EE2087"/>
    <w:rsid w:val="00EE20A1"/>
    <w:rsid w:val="00EE6670"/>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3DDE"/>
    <w:rsid w:val="00F2601A"/>
    <w:rsid w:val="00F26701"/>
    <w:rsid w:val="00F310D7"/>
    <w:rsid w:val="00F331D6"/>
    <w:rsid w:val="00F368B9"/>
    <w:rsid w:val="00F3739F"/>
    <w:rsid w:val="00F374C1"/>
    <w:rsid w:val="00F37B34"/>
    <w:rsid w:val="00F37C53"/>
    <w:rsid w:val="00F41C34"/>
    <w:rsid w:val="00F4212F"/>
    <w:rsid w:val="00F43D9F"/>
    <w:rsid w:val="00F447DB"/>
    <w:rsid w:val="00F447FA"/>
    <w:rsid w:val="00F44BD1"/>
    <w:rsid w:val="00F469B9"/>
    <w:rsid w:val="00F46C32"/>
    <w:rsid w:val="00F46ECB"/>
    <w:rsid w:val="00F50F94"/>
    <w:rsid w:val="00F525B5"/>
    <w:rsid w:val="00F53D53"/>
    <w:rsid w:val="00F543B9"/>
    <w:rsid w:val="00F54602"/>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240"/>
    <w:rsid w:val="00FD118C"/>
    <w:rsid w:val="00FD332F"/>
    <w:rsid w:val="00FD7395"/>
    <w:rsid w:val="00FD74C5"/>
    <w:rsid w:val="00FE1CC1"/>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2737"/>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6/pdf/00337629.pdf" TargetMode="External"/><Relationship Id="rId13" Type="http://schemas.openxmlformats.org/officeDocument/2006/relationships/hyperlink" Target="http://www1.tce.pr.gov.br/multimidia/2019/7/pdf/00338023.pdf" TargetMode="External"/><Relationship Id="rId18" Type="http://schemas.openxmlformats.org/officeDocument/2006/relationships/hyperlink" Target="http://www1.tce.pr.gov.br/conteudo/pesquisas-prontas/308475/area/24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1.tce.pr.gov.br/conteudo/repercussao-geral-no-stf-e-os-tribunais-de-contas/307026/area/249" TargetMode="External"/><Relationship Id="rId7" Type="http://schemas.openxmlformats.org/officeDocument/2006/relationships/endnotes" Target="endnotes.xml"/><Relationship Id="rId12" Type="http://schemas.openxmlformats.org/officeDocument/2006/relationships/hyperlink" Target="http://www1.tce.pr.gov.br/multimidia/2019/7/pdf/00338129.pdf" TargetMode="External"/><Relationship Id="rId17" Type="http://schemas.openxmlformats.org/officeDocument/2006/relationships/hyperlink" Target="https://pesquisa.apps.tcu.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1.tce.pr.gov.br/multimidia/2019/7/pdf/00337944.pdf" TargetMode="External"/><Relationship Id="rId20"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9/7/pdf/00337893.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1.tce.pr.gov.br/multimidia/2019/7/pdf/00338016.pdf" TargetMode="External"/><Relationship Id="rId23" Type="http://schemas.openxmlformats.org/officeDocument/2006/relationships/header" Target="header1.xml"/><Relationship Id="rId10" Type="http://schemas.openxmlformats.org/officeDocument/2006/relationships/hyperlink" Target="http://www1.tce.pr.gov.br/multimidia/2019/7/pdf/00337871.pdf" TargetMode="External"/><Relationship Id="rId19" Type="http://schemas.openxmlformats.org/officeDocument/2006/relationships/hyperlink" Target="http://www1.tce.pr.gov.br/conteudo/teses-ambientais/316603/area/249" TargetMode="External"/><Relationship Id="rId4" Type="http://schemas.openxmlformats.org/officeDocument/2006/relationships/settings" Target="settings.xml"/><Relationship Id="rId9" Type="http://schemas.openxmlformats.org/officeDocument/2006/relationships/hyperlink" Target="http://www1.tce.pr.gov.br/multimidia/2019/7/pdf/00337694.pdf" TargetMode="External"/><Relationship Id="rId14" Type="http://schemas.openxmlformats.org/officeDocument/2006/relationships/hyperlink" Target="http://www1.tce.pr.gov.br/multimidia/2019/7/pdf/00338019.pdf" TargetMode="External"/><Relationship Id="rId22" Type="http://schemas.openxmlformats.org/officeDocument/2006/relationships/hyperlink" Target="http://www1.tce.pr.gov.br/conteudo/sumulas-selecionadas/316602/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0E71D-14D1-434B-BD28-2CFBDCC9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11</Pages>
  <Words>4774</Words>
  <Characters>25780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5</cp:revision>
  <cp:lastPrinted>2019-04-17T13:57:00Z</cp:lastPrinted>
  <dcterms:created xsi:type="dcterms:W3CDTF">2019-08-12T15:10:00Z</dcterms:created>
  <dcterms:modified xsi:type="dcterms:W3CDTF">2019-08-12T18:14:00Z</dcterms:modified>
</cp:coreProperties>
</file>