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02427B">
        <w:rPr>
          <w:rFonts w:ascii="Arial" w:hAnsi="Arial" w:cs="Arial"/>
          <w:b/>
          <w:sz w:val="20"/>
          <w:szCs w:val="20"/>
        </w:rPr>
        <w:t>6</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2B5E9F">
        <w:rPr>
          <w:rFonts w:ascii="Arial" w:hAnsi="Arial" w:cs="Arial"/>
          <w:b/>
          <w:sz w:val="20"/>
          <w:szCs w:val="20"/>
        </w:rPr>
        <w:t>0</w:t>
      </w:r>
      <w:r w:rsidR="0002427B">
        <w:rPr>
          <w:rFonts w:ascii="Arial" w:hAnsi="Arial" w:cs="Arial"/>
          <w:b/>
          <w:sz w:val="20"/>
          <w:szCs w:val="20"/>
        </w:rPr>
        <w:t>1</w:t>
      </w:r>
      <w:r w:rsidR="00814325">
        <w:rPr>
          <w:rFonts w:ascii="Arial" w:hAnsi="Arial" w:cs="Arial"/>
          <w:b/>
          <w:sz w:val="20"/>
          <w:szCs w:val="20"/>
        </w:rPr>
        <w:t>.</w:t>
      </w:r>
      <w:r w:rsidR="002B5E9F">
        <w:rPr>
          <w:rFonts w:ascii="Arial" w:hAnsi="Arial" w:cs="Arial"/>
          <w:b/>
          <w:sz w:val="20"/>
          <w:szCs w:val="20"/>
        </w:rPr>
        <w:t>1</w:t>
      </w:r>
      <w:r w:rsidR="0002427B">
        <w:rPr>
          <w:rFonts w:ascii="Arial" w:hAnsi="Arial" w:cs="Arial"/>
          <w:b/>
          <w:sz w:val="20"/>
          <w:szCs w:val="20"/>
        </w:rPr>
        <w:t>1</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02427B">
        <w:rPr>
          <w:rFonts w:ascii="Arial" w:hAnsi="Arial" w:cs="Arial"/>
          <w:b/>
          <w:sz w:val="20"/>
          <w:szCs w:val="20"/>
        </w:rPr>
        <w:t>14</w:t>
      </w:r>
      <w:r w:rsidR="005A0FD0" w:rsidRPr="0022060B">
        <w:rPr>
          <w:rFonts w:ascii="Arial" w:hAnsi="Arial" w:cs="Arial"/>
          <w:b/>
          <w:sz w:val="20"/>
          <w:szCs w:val="20"/>
        </w:rPr>
        <w:t>.</w:t>
      </w:r>
      <w:r w:rsidR="002B5E9F">
        <w:rPr>
          <w:rFonts w:ascii="Arial" w:hAnsi="Arial" w:cs="Arial"/>
          <w:b/>
          <w:sz w:val="20"/>
          <w:szCs w:val="20"/>
        </w:rPr>
        <w:t>1</w:t>
      </w:r>
      <w:r w:rsidR="0002427B">
        <w:rPr>
          <w:rFonts w:ascii="Arial" w:hAnsi="Arial" w:cs="Arial"/>
          <w:b/>
          <w:sz w:val="20"/>
          <w:szCs w:val="20"/>
        </w:rPr>
        <w:t>1</w:t>
      </w:r>
      <w:r w:rsidRPr="0022060B">
        <w:rPr>
          <w:rFonts w:ascii="Arial" w:hAnsi="Arial" w:cs="Arial"/>
          <w:b/>
          <w:sz w:val="20"/>
          <w:szCs w:val="20"/>
        </w:rPr>
        <w:t xml:space="preserve"> de 201</w:t>
      </w:r>
      <w:r w:rsidR="00283A61">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A06085">
      <w:pPr>
        <w:shd w:val="pct10" w:color="auto" w:fill="auto"/>
        <w:spacing w:after="12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 xml:space="preserve">1. Administração Pública. Cargo Público. Acumulação. Cargo ou emprego de profissional de saúde. Necessidade de compatibilidade de horários. </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2. Licitação. Fiscalização. Lesão ao erário. Responsabilidade. Imprescritibilidade.</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 xml:space="preserve">3. Licitação. Cronograma </w:t>
      </w:r>
      <w:r w:rsidR="003852DF">
        <w:rPr>
          <w:rFonts w:ascii="Arial" w:hAnsi="Arial" w:cs="Arial"/>
          <w:sz w:val="20"/>
          <w:szCs w:val="20"/>
        </w:rPr>
        <w:t>financeiro. Antecipação do pag</w:t>
      </w:r>
      <w:r w:rsidRPr="005E4CB9">
        <w:rPr>
          <w:rFonts w:ascii="Arial" w:hAnsi="Arial" w:cs="Arial"/>
          <w:sz w:val="20"/>
          <w:szCs w:val="20"/>
        </w:rPr>
        <w:t>amento. Vedação. Contraprestação.</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 xml:space="preserve">4. Aposentadoria. Câmara Municipal. É condição de regularidade dos atos de inativação que o órgão previdenciário aprove os cálculos do benefício e a fundamentação legal considerada pelo órgão emissor. Impossibilidade de incorporação de verbas transitórias recebidas em período em que o servidor se encontrava vinculado ao RGPS. Negativa de registro. </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 xml:space="preserve">5. Tomada de Contas Extraordinária. Comunicação de irregularidade. Contratação de empresa para requerer administrativamente a compensação de valores de contribuições previdenciárias e redução da alíquota de contribuição do RAT. Serviços que não exigem notória especialização, podendo ser realizados pelos servidores municipais. Caracterização de lesão ao erário. Irregularidade das contas. </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6. Serviço Público. Terceirização. Contratação temporária. Agentes Comunitários e Agente</w:t>
      </w:r>
      <w:r w:rsidR="004D2E0A">
        <w:rPr>
          <w:rFonts w:ascii="Arial" w:hAnsi="Arial" w:cs="Arial"/>
          <w:sz w:val="20"/>
          <w:szCs w:val="20"/>
        </w:rPr>
        <w:t>s</w:t>
      </w:r>
      <w:r w:rsidRPr="005E4CB9">
        <w:rPr>
          <w:rFonts w:ascii="Arial" w:hAnsi="Arial" w:cs="Arial"/>
          <w:sz w:val="20"/>
          <w:szCs w:val="20"/>
        </w:rPr>
        <w:t xml:space="preserve"> de Combate às Endemias. Proibição.</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7. Consórcio Público. Receita. Ocultação. Responsabilidade. Dano ao erário.</w:t>
      </w:r>
    </w:p>
    <w:p w:rsidR="005E4CB9" w:rsidRPr="00A06085"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 xml:space="preserve">8. Representação. Nomeação de servidor para função gratificada. Relação de parentesco. Sobrinha do Presidente da Câmara Municipal. Ocupante de cargo efetivo. Existência de </w:t>
      </w:r>
      <w:r w:rsidRPr="005E4CB9">
        <w:rPr>
          <w:rFonts w:ascii="Arial" w:hAnsi="Arial" w:cs="Arial"/>
          <w:sz w:val="20"/>
          <w:szCs w:val="20"/>
        </w:rPr>
        <w:lastRenderedPageBreak/>
        <w:t xml:space="preserve">subordinação hierárquica. Impossibilidade. Nepotismo. Prejulgado 09 deste Tribunal de Contas. Procedência com aplicação de multa.  </w:t>
      </w:r>
    </w:p>
    <w:p w:rsidR="005E4CB9" w:rsidRDefault="005E4CB9" w:rsidP="00D7122F">
      <w:pPr>
        <w:spacing w:after="0"/>
        <w:jc w:val="both"/>
        <w:rPr>
          <w:rFonts w:ascii="Arial" w:hAnsi="Arial" w:cs="Arial"/>
          <w:sz w:val="20"/>
          <w:szCs w:val="20"/>
        </w:rPr>
      </w:pPr>
    </w:p>
    <w:p w:rsidR="005E4CB9" w:rsidRPr="005E4CB9" w:rsidRDefault="005E4CB9" w:rsidP="00D7122F">
      <w:pPr>
        <w:spacing w:after="0"/>
        <w:jc w:val="both"/>
        <w:rPr>
          <w:rFonts w:ascii="Arial" w:hAnsi="Arial" w:cs="Arial"/>
          <w:sz w:val="20"/>
          <w:szCs w:val="20"/>
        </w:rPr>
      </w:pPr>
      <w:r w:rsidRPr="005E4CB9">
        <w:rPr>
          <w:rFonts w:ascii="Arial" w:hAnsi="Arial" w:cs="Arial"/>
          <w:sz w:val="20"/>
          <w:szCs w:val="20"/>
        </w:rPr>
        <w:t xml:space="preserve">9. Consulta.  Pagamento de estagiários com dotação do FUNDEB. Impossibilidade. </w:t>
      </w:r>
    </w:p>
    <w:p w:rsidR="004429A2"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A06085">
      <w:pPr>
        <w:shd w:val="pct10" w:color="auto" w:fill="auto"/>
        <w:spacing w:after="120"/>
        <w:jc w:val="center"/>
        <w:rPr>
          <w:rFonts w:ascii="Arial" w:hAnsi="Arial" w:cs="Arial"/>
          <w:b/>
          <w:sz w:val="20"/>
          <w:szCs w:val="20"/>
        </w:rPr>
      </w:pPr>
      <w:r w:rsidRPr="0022060B">
        <w:rPr>
          <w:rFonts w:ascii="Arial" w:hAnsi="Arial" w:cs="Arial"/>
          <w:b/>
          <w:sz w:val="20"/>
          <w:szCs w:val="20"/>
        </w:rPr>
        <w:t>PRIMEIRA CÂMARA</w:t>
      </w:r>
    </w:p>
    <w:p w:rsidR="00497EB3" w:rsidRDefault="00497EB3" w:rsidP="00D7122F">
      <w:pPr>
        <w:autoSpaceDE w:val="0"/>
        <w:autoSpaceDN w:val="0"/>
        <w:adjustRightInd w:val="0"/>
        <w:spacing w:after="0"/>
        <w:jc w:val="both"/>
        <w:rPr>
          <w:rFonts w:ascii="Arial" w:hAnsi="Arial" w:cs="Arial"/>
          <w:b/>
          <w:sz w:val="20"/>
          <w:szCs w:val="20"/>
        </w:rPr>
      </w:pPr>
    </w:p>
    <w:p w:rsidR="006A750E" w:rsidRPr="005E4CB9" w:rsidRDefault="005E4CB9" w:rsidP="00D7122F">
      <w:pPr>
        <w:autoSpaceDE w:val="0"/>
        <w:autoSpaceDN w:val="0"/>
        <w:adjustRightInd w:val="0"/>
        <w:spacing w:after="0"/>
        <w:jc w:val="both"/>
        <w:rPr>
          <w:rFonts w:ascii="Arial" w:hAnsi="Arial" w:cs="Arial"/>
          <w:b/>
          <w:sz w:val="20"/>
          <w:szCs w:val="20"/>
        </w:rPr>
      </w:pPr>
      <w:r w:rsidRPr="005E4CB9">
        <w:rPr>
          <w:rFonts w:ascii="Arial" w:hAnsi="Arial" w:cs="Arial"/>
          <w:b/>
          <w:sz w:val="20"/>
          <w:szCs w:val="20"/>
        </w:rPr>
        <w:t>1.</w:t>
      </w:r>
      <w:r>
        <w:rPr>
          <w:rFonts w:ascii="Arial" w:hAnsi="Arial" w:cs="Arial"/>
          <w:b/>
          <w:sz w:val="20"/>
          <w:szCs w:val="20"/>
        </w:rPr>
        <w:t xml:space="preserve"> </w:t>
      </w:r>
      <w:r w:rsidR="006A750E" w:rsidRPr="005E4CB9">
        <w:rPr>
          <w:rFonts w:ascii="Arial" w:hAnsi="Arial" w:cs="Arial"/>
          <w:b/>
          <w:sz w:val="20"/>
          <w:szCs w:val="20"/>
        </w:rPr>
        <w:t xml:space="preserve">Administração Pública. Cargo Público. Acumulação. Cargo ou emprego de profissional de saúde. Necessidade de compatibilidade de horários. </w:t>
      </w:r>
    </w:p>
    <w:p w:rsidR="00D7122F" w:rsidRDefault="00D7122F" w:rsidP="00D7122F">
      <w:pPr>
        <w:autoSpaceDE w:val="0"/>
        <w:autoSpaceDN w:val="0"/>
        <w:adjustRightInd w:val="0"/>
        <w:spacing w:after="0"/>
        <w:jc w:val="both"/>
        <w:rPr>
          <w:rFonts w:ascii="Arial" w:hAnsi="Arial" w:cs="Arial"/>
          <w:sz w:val="20"/>
          <w:szCs w:val="20"/>
        </w:rPr>
      </w:pPr>
    </w:p>
    <w:p w:rsidR="006A750E" w:rsidRDefault="006A750E" w:rsidP="00D7122F">
      <w:pPr>
        <w:autoSpaceDE w:val="0"/>
        <w:autoSpaceDN w:val="0"/>
        <w:adjustRightInd w:val="0"/>
        <w:spacing w:after="0"/>
        <w:jc w:val="both"/>
        <w:rPr>
          <w:rFonts w:ascii="Arial" w:hAnsi="Arial" w:cs="Arial"/>
          <w:sz w:val="20"/>
          <w:szCs w:val="20"/>
        </w:rPr>
      </w:pPr>
      <w:r>
        <w:rPr>
          <w:rFonts w:ascii="Arial" w:hAnsi="Arial" w:cs="Arial"/>
          <w:sz w:val="20"/>
          <w:szCs w:val="20"/>
        </w:rPr>
        <w:t>A previsão constitucional de acumulação de dois cargos de cargos públicos impõe a compatibilidade de horários para acumulação de cargos. Assim é ilegal a acumulação de dois cargos ou empregos de profissional de saúde se os horários de expediente coincidem. Além disso, a omissão, por parte de servidor, quanto a investidura em outro cargo público configura má-fé.</w:t>
      </w:r>
    </w:p>
    <w:p w:rsidR="00D7122F" w:rsidRDefault="00D7122F" w:rsidP="00D7122F">
      <w:pPr>
        <w:autoSpaceDE w:val="0"/>
        <w:autoSpaceDN w:val="0"/>
        <w:adjustRightInd w:val="0"/>
        <w:spacing w:after="0"/>
        <w:jc w:val="both"/>
        <w:rPr>
          <w:rFonts w:ascii="Arial" w:hAnsi="Arial" w:cs="Arial"/>
          <w:sz w:val="20"/>
          <w:szCs w:val="20"/>
        </w:rPr>
      </w:pPr>
    </w:p>
    <w:p w:rsidR="006A750E" w:rsidRDefault="006A750E" w:rsidP="00D7122F">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65788/15. </w:t>
      </w:r>
      <w:hyperlink r:id="rId8" w:history="1">
        <w:r w:rsidRPr="00581354">
          <w:rPr>
            <w:rStyle w:val="Hyperlink"/>
            <w:rFonts w:ascii="Arial" w:hAnsi="Arial" w:cs="Arial"/>
            <w:sz w:val="20"/>
            <w:szCs w:val="20"/>
          </w:rPr>
          <w:t xml:space="preserve">Acórdão 4593/17 </w:t>
        </w:r>
        <w:r w:rsidR="00497EB3">
          <w:rPr>
            <w:rStyle w:val="Hyperlink"/>
            <w:rFonts w:ascii="Arial" w:hAnsi="Arial" w:cs="Arial"/>
            <w:sz w:val="20"/>
            <w:szCs w:val="20"/>
          </w:rPr>
          <w:t>-</w:t>
        </w:r>
        <w:r w:rsidRPr="00581354">
          <w:rPr>
            <w:rStyle w:val="Hyperlink"/>
            <w:rFonts w:ascii="Arial" w:hAnsi="Arial" w:cs="Arial"/>
            <w:sz w:val="20"/>
            <w:szCs w:val="20"/>
          </w:rPr>
          <w:t xml:space="preserve"> Primeira Câmara</w:t>
        </w:r>
      </w:hyperlink>
      <w:r>
        <w:rPr>
          <w:rFonts w:ascii="Arial" w:hAnsi="Arial" w:cs="Arial"/>
          <w:sz w:val="20"/>
          <w:szCs w:val="20"/>
        </w:rPr>
        <w:t xml:space="preserve">. Relator Auditor Sérgio Ricardo Valadares Fonseca. </w:t>
      </w:r>
    </w:p>
    <w:p w:rsidR="006A750E" w:rsidRDefault="006A750E" w:rsidP="00D7122F">
      <w:pPr>
        <w:autoSpaceDE w:val="0"/>
        <w:autoSpaceDN w:val="0"/>
        <w:adjustRightInd w:val="0"/>
        <w:spacing w:after="0"/>
        <w:jc w:val="both"/>
        <w:rPr>
          <w:rFonts w:ascii="Arial" w:hAnsi="Arial" w:cs="Arial"/>
          <w:sz w:val="20"/>
          <w:szCs w:val="20"/>
        </w:rPr>
      </w:pPr>
    </w:p>
    <w:p w:rsidR="006A750E" w:rsidRPr="00D74284" w:rsidRDefault="005E4CB9" w:rsidP="00D7122F">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6A750E" w:rsidRPr="00D74284">
        <w:rPr>
          <w:rFonts w:ascii="Arial" w:hAnsi="Arial" w:cs="Arial"/>
          <w:b/>
          <w:sz w:val="20"/>
          <w:szCs w:val="20"/>
        </w:rPr>
        <w:t>Licitação. Fiscalização. Lesão ao erário. Responsabilidade. Imprescritibilidade.</w:t>
      </w:r>
    </w:p>
    <w:p w:rsidR="00D7122F" w:rsidRDefault="00D7122F" w:rsidP="00D7122F">
      <w:pPr>
        <w:autoSpaceDE w:val="0"/>
        <w:autoSpaceDN w:val="0"/>
        <w:adjustRightInd w:val="0"/>
        <w:spacing w:after="0"/>
        <w:jc w:val="both"/>
        <w:rPr>
          <w:rFonts w:ascii="Arial" w:hAnsi="Arial" w:cs="Arial"/>
          <w:sz w:val="20"/>
          <w:szCs w:val="20"/>
        </w:rPr>
      </w:pPr>
    </w:p>
    <w:p w:rsidR="006A750E" w:rsidRDefault="006A750E" w:rsidP="00D7122F">
      <w:pPr>
        <w:autoSpaceDE w:val="0"/>
        <w:autoSpaceDN w:val="0"/>
        <w:adjustRightInd w:val="0"/>
        <w:spacing w:after="0"/>
        <w:jc w:val="both"/>
        <w:rPr>
          <w:rFonts w:ascii="Arial" w:hAnsi="Arial" w:cs="Arial"/>
          <w:sz w:val="20"/>
          <w:szCs w:val="20"/>
        </w:rPr>
      </w:pPr>
      <w:r>
        <w:rPr>
          <w:rFonts w:ascii="Arial" w:hAnsi="Arial" w:cs="Arial"/>
          <w:sz w:val="20"/>
          <w:szCs w:val="20"/>
        </w:rPr>
        <w:t xml:space="preserve">A negligência no dever de fiscalização e </w:t>
      </w:r>
      <w:r w:rsidR="00F521CB">
        <w:rPr>
          <w:rFonts w:ascii="Arial" w:hAnsi="Arial" w:cs="Arial"/>
          <w:sz w:val="20"/>
          <w:szCs w:val="20"/>
        </w:rPr>
        <w:t>no</w:t>
      </w:r>
      <w:r>
        <w:rPr>
          <w:rFonts w:ascii="Arial" w:hAnsi="Arial" w:cs="Arial"/>
          <w:sz w:val="20"/>
          <w:szCs w:val="20"/>
        </w:rPr>
        <w:t xml:space="preserve"> zelo pela aplicação da Lei 8.666/93, possibilitando grave lesão ao erário, implica em responsabilização pelo prejuízo ao erário. A</w:t>
      </w:r>
      <w:r w:rsidRPr="00436355">
        <w:rPr>
          <w:rFonts w:ascii="Arial" w:hAnsi="Arial" w:cs="Arial"/>
          <w:sz w:val="20"/>
          <w:szCs w:val="20"/>
        </w:rPr>
        <w:t>s ações de ressarcimento ao erário são imprescritíveis, conforme bem salientou a Unidade Técnica e o Ministério Público de Contas, destacando-se o teor da Súmula nº 282 do Tribunal de Contas da União</w:t>
      </w:r>
      <w:r>
        <w:rPr>
          <w:rFonts w:ascii="Arial" w:hAnsi="Arial" w:cs="Arial"/>
          <w:sz w:val="20"/>
          <w:szCs w:val="20"/>
        </w:rPr>
        <w:t>.</w:t>
      </w:r>
    </w:p>
    <w:p w:rsidR="00D7122F" w:rsidRDefault="00D7122F" w:rsidP="00D7122F">
      <w:pPr>
        <w:autoSpaceDE w:val="0"/>
        <w:autoSpaceDN w:val="0"/>
        <w:adjustRightInd w:val="0"/>
        <w:spacing w:after="0"/>
        <w:jc w:val="both"/>
        <w:rPr>
          <w:rFonts w:ascii="Arial" w:hAnsi="Arial" w:cs="Arial"/>
          <w:sz w:val="20"/>
          <w:szCs w:val="20"/>
        </w:rPr>
      </w:pPr>
    </w:p>
    <w:p w:rsidR="006A750E" w:rsidRDefault="006A750E" w:rsidP="00D7122F">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618513/16. </w:t>
      </w:r>
      <w:hyperlink r:id="rId9" w:history="1">
        <w:r w:rsidRPr="000A071C">
          <w:rPr>
            <w:rStyle w:val="Hyperlink"/>
            <w:rFonts w:ascii="Arial" w:hAnsi="Arial" w:cs="Arial"/>
            <w:sz w:val="20"/>
            <w:szCs w:val="20"/>
          </w:rPr>
          <w:t xml:space="preserve">Acórdão 4588/17 </w:t>
        </w:r>
        <w:r w:rsidR="00497EB3">
          <w:rPr>
            <w:rStyle w:val="Hyperlink"/>
            <w:rFonts w:ascii="Arial" w:hAnsi="Arial" w:cs="Arial"/>
            <w:sz w:val="20"/>
            <w:szCs w:val="20"/>
          </w:rPr>
          <w:t>-</w:t>
        </w:r>
        <w:r w:rsidRPr="000A071C">
          <w:rPr>
            <w:rStyle w:val="Hyperlink"/>
            <w:rFonts w:ascii="Arial" w:hAnsi="Arial" w:cs="Arial"/>
            <w:sz w:val="20"/>
            <w:szCs w:val="20"/>
          </w:rPr>
          <w:t xml:space="preserve"> Primeira Câmara</w:t>
        </w:r>
      </w:hyperlink>
      <w:r>
        <w:rPr>
          <w:rFonts w:ascii="Arial" w:hAnsi="Arial" w:cs="Arial"/>
          <w:sz w:val="20"/>
          <w:szCs w:val="20"/>
        </w:rPr>
        <w:t xml:space="preserve">. Relator Conselheiro Nestor Batista. </w:t>
      </w:r>
    </w:p>
    <w:p w:rsidR="006A750E" w:rsidRDefault="006A750E" w:rsidP="00D7122F">
      <w:pPr>
        <w:autoSpaceDE w:val="0"/>
        <w:autoSpaceDN w:val="0"/>
        <w:adjustRightInd w:val="0"/>
        <w:spacing w:after="0"/>
        <w:jc w:val="both"/>
        <w:rPr>
          <w:rFonts w:ascii="Arial" w:hAnsi="Arial" w:cs="Arial"/>
          <w:sz w:val="20"/>
          <w:szCs w:val="20"/>
        </w:rPr>
      </w:pPr>
    </w:p>
    <w:p w:rsidR="006A750E" w:rsidRPr="00C140F3" w:rsidRDefault="005E4CB9" w:rsidP="00D7122F">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6A750E" w:rsidRPr="00C140F3">
        <w:rPr>
          <w:rFonts w:ascii="Arial" w:hAnsi="Arial" w:cs="Arial"/>
          <w:b/>
          <w:sz w:val="20"/>
          <w:szCs w:val="20"/>
        </w:rPr>
        <w:t>Licitação. Cronogram</w:t>
      </w:r>
      <w:r w:rsidR="00A836D5">
        <w:rPr>
          <w:rFonts w:ascii="Arial" w:hAnsi="Arial" w:cs="Arial"/>
          <w:b/>
          <w:sz w:val="20"/>
          <w:szCs w:val="20"/>
        </w:rPr>
        <w:t>a financeiro. Antecipação do pag</w:t>
      </w:r>
      <w:r w:rsidR="006A750E" w:rsidRPr="00C140F3">
        <w:rPr>
          <w:rFonts w:ascii="Arial" w:hAnsi="Arial" w:cs="Arial"/>
          <w:b/>
          <w:sz w:val="20"/>
          <w:szCs w:val="20"/>
        </w:rPr>
        <w:t>amento. Vedação. Contraprestação.</w:t>
      </w:r>
    </w:p>
    <w:p w:rsidR="00D7122F" w:rsidRDefault="00D7122F" w:rsidP="00D7122F">
      <w:pPr>
        <w:autoSpaceDE w:val="0"/>
        <w:autoSpaceDN w:val="0"/>
        <w:adjustRightInd w:val="0"/>
        <w:spacing w:after="0"/>
        <w:jc w:val="both"/>
        <w:rPr>
          <w:rFonts w:ascii="Arial" w:hAnsi="Arial" w:cs="Arial"/>
          <w:sz w:val="20"/>
          <w:szCs w:val="20"/>
        </w:rPr>
      </w:pPr>
    </w:p>
    <w:p w:rsidR="006A750E" w:rsidRPr="00C140F3" w:rsidRDefault="006A750E" w:rsidP="00D7122F">
      <w:pPr>
        <w:autoSpaceDE w:val="0"/>
        <w:autoSpaceDN w:val="0"/>
        <w:adjustRightInd w:val="0"/>
        <w:spacing w:after="0"/>
        <w:jc w:val="both"/>
        <w:rPr>
          <w:rFonts w:ascii="Arial" w:hAnsi="Arial" w:cs="Arial"/>
          <w:sz w:val="20"/>
          <w:szCs w:val="20"/>
        </w:rPr>
      </w:pPr>
      <w:r w:rsidRPr="00C140F3">
        <w:rPr>
          <w:rFonts w:ascii="Arial" w:hAnsi="Arial" w:cs="Arial"/>
          <w:sz w:val="20"/>
          <w:szCs w:val="20"/>
        </w:rPr>
        <w:t>O art. 65, II “c” da Lei 8.666/932 veda a antecipação do pagamento, com relação ao cronograma financeiro fixado, sem a correspondente contraprestação de fornecimento de bens ou execução de obra ou serviço.</w:t>
      </w:r>
    </w:p>
    <w:p w:rsidR="00D7122F" w:rsidRDefault="00D7122F" w:rsidP="00D7122F">
      <w:pPr>
        <w:autoSpaceDE w:val="0"/>
        <w:autoSpaceDN w:val="0"/>
        <w:adjustRightInd w:val="0"/>
        <w:spacing w:after="0"/>
        <w:jc w:val="both"/>
        <w:rPr>
          <w:rFonts w:ascii="Arial" w:hAnsi="Arial" w:cs="Arial"/>
          <w:sz w:val="20"/>
          <w:szCs w:val="20"/>
        </w:rPr>
      </w:pPr>
    </w:p>
    <w:p w:rsidR="006A750E" w:rsidRPr="00C140F3" w:rsidRDefault="006A750E" w:rsidP="00D7122F">
      <w:pPr>
        <w:autoSpaceDE w:val="0"/>
        <w:autoSpaceDN w:val="0"/>
        <w:adjustRightInd w:val="0"/>
        <w:spacing w:after="0"/>
        <w:jc w:val="both"/>
        <w:rPr>
          <w:rFonts w:ascii="Arial" w:hAnsi="Arial" w:cs="Arial"/>
          <w:sz w:val="20"/>
          <w:szCs w:val="20"/>
        </w:rPr>
      </w:pPr>
      <w:r w:rsidRPr="00C140F3">
        <w:rPr>
          <w:rFonts w:ascii="Arial" w:hAnsi="Arial" w:cs="Arial"/>
          <w:sz w:val="20"/>
          <w:szCs w:val="20"/>
        </w:rPr>
        <w:t xml:space="preserve">Processo nº 759206/16. </w:t>
      </w:r>
      <w:hyperlink r:id="rId10" w:history="1">
        <w:r w:rsidRPr="00C140F3">
          <w:rPr>
            <w:rStyle w:val="Hyperlink"/>
            <w:rFonts w:ascii="Arial" w:hAnsi="Arial" w:cs="Arial"/>
            <w:sz w:val="20"/>
            <w:szCs w:val="20"/>
          </w:rPr>
          <w:t xml:space="preserve">Acórdão 4592/17 </w:t>
        </w:r>
        <w:r w:rsidR="00497EB3">
          <w:rPr>
            <w:rStyle w:val="Hyperlink"/>
            <w:rFonts w:ascii="Arial" w:hAnsi="Arial" w:cs="Arial"/>
            <w:sz w:val="20"/>
            <w:szCs w:val="20"/>
          </w:rPr>
          <w:t>-</w:t>
        </w:r>
        <w:r w:rsidRPr="00C140F3">
          <w:rPr>
            <w:rStyle w:val="Hyperlink"/>
            <w:rFonts w:ascii="Arial" w:hAnsi="Arial" w:cs="Arial"/>
            <w:sz w:val="20"/>
            <w:szCs w:val="20"/>
          </w:rPr>
          <w:t xml:space="preserve"> Primeira Câmara</w:t>
        </w:r>
      </w:hyperlink>
      <w:r w:rsidRPr="00C140F3">
        <w:rPr>
          <w:rFonts w:ascii="Arial" w:hAnsi="Arial" w:cs="Arial"/>
          <w:sz w:val="20"/>
          <w:szCs w:val="20"/>
        </w:rPr>
        <w:t xml:space="preserve">. Relator Conselheiro Fábio de Souza Camargo. </w:t>
      </w:r>
    </w:p>
    <w:p w:rsidR="004429A2" w:rsidRDefault="004429A2" w:rsidP="00D7122F">
      <w:pPr>
        <w:autoSpaceDE w:val="0"/>
        <w:autoSpaceDN w:val="0"/>
        <w:adjustRightInd w:val="0"/>
        <w:spacing w:after="0"/>
        <w:jc w:val="both"/>
        <w:rPr>
          <w:rFonts w:ascii="Arial" w:hAnsi="Arial" w:cs="Arial"/>
          <w:sz w:val="20"/>
          <w:szCs w:val="20"/>
        </w:rPr>
      </w:pPr>
    </w:p>
    <w:p w:rsidR="005E4CB9" w:rsidRPr="00BA25C9" w:rsidRDefault="005E4CB9" w:rsidP="00D7122F">
      <w:pPr>
        <w:spacing w:after="0"/>
        <w:jc w:val="both"/>
        <w:rPr>
          <w:rFonts w:ascii="Arial" w:hAnsi="Arial" w:cs="Arial"/>
          <w:b/>
          <w:sz w:val="20"/>
          <w:szCs w:val="20"/>
        </w:rPr>
      </w:pPr>
      <w:r>
        <w:rPr>
          <w:rFonts w:ascii="Arial" w:hAnsi="Arial" w:cs="Arial"/>
          <w:b/>
          <w:sz w:val="20"/>
          <w:szCs w:val="20"/>
        </w:rPr>
        <w:t xml:space="preserve">4. </w:t>
      </w:r>
      <w:r w:rsidRPr="00BA25C9">
        <w:rPr>
          <w:rFonts w:ascii="Arial" w:hAnsi="Arial" w:cs="Arial"/>
          <w:b/>
          <w:sz w:val="20"/>
          <w:szCs w:val="20"/>
        </w:rPr>
        <w:t xml:space="preserve">Aposentadoria. Câmara Municipal. É condição de regularidade dos atos de inativação que o órgão previdenciário aprove os cálculos do benefício e a fundamentação legal </w:t>
      </w:r>
      <w:r w:rsidRPr="00BA25C9">
        <w:rPr>
          <w:rFonts w:ascii="Arial" w:hAnsi="Arial" w:cs="Arial"/>
          <w:b/>
          <w:sz w:val="20"/>
          <w:szCs w:val="20"/>
        </w:rPr>
        <w:lastRenderedPageBreak/>
        <w:t xml:space="preserve">considerada pelo órgão emissor. Impossibilidade de incorporação de verbas transitórias recebidas em período em que o servidor se encontrava vinculado ao RGPS. Negativa de registro. </w:t>
      </w:r>
    </w:p>
    <w:p w:rsidR="00D7122F" w:rsidRDefault="00D7122F" w:rsidP="00D7122F">
      <w:pPr>
        <w:autoSpaceDE w:val="0"/>
        <w:autoSpaceDN w:val="0"/>
        <w:adjustRightInd w:val="0"/>
        <w:spacing w:after="0"/>
        <w:jc w:val="both"/>
        <w:rPr>
          <w:rFonts w:ascii="Arial" w:hAnsi="Arial" w:cs="Arial"/>
          <w:iCs/>
          <w:sz w:val="20"/>
          <w:szCs w:val="20"/>
        </w:rPr>
      </w:pPr>
    </w:p>
    <w:p w:rsidR="005E4CB9" w:rsidRDefault="005E4CB9" w:rsidP="00D7122F">
      <w:pPr>
        <w:autoSpaceDE w:val="0"/>
        <w:autoSpaceDN w:val="0"/>
        <w:adjustRightInd w:val="0"/>
        <w:spacing w:after="0"/>
        <w:jc w:val="both"/>
        <w:rPr>
          <w:rFonts w:ascii="Arial" w:hAnsi="Arial" w:cs="Arial"/>
          <w:iCs/>
          <w:sz w:val="20"/>
          <w:szCs w:val="20"/>
        </w:rPr>
      </w:pPr>
      <w:r w:rsidRPr="00A06085">
        <w:rPr>
          <w:rFonts w:ascii="Arial" w:hAnsi="Arial" w:cs="Arial"/>
          <w:iCs/>
          <w:sz w:val="20"/>
          <w:szCs w:val="20"/>
        </w:rPr>
        <w:t xml:space="preserve">Por determinação constitucional e legal, o instituto de previdência dos servidores municipais detém competência exclusiva para aferição do cumprimento dos requisitos legais para concessão de benefícios previdenciários dos servidores da administração municipal. </w:t>
      </w:r>
    </w:p>
    <w:p w:rsidR="00497EB3" w:rsidRPr="00A06085" w:rsidRDefault="00497EB3" w:rsidP="00D7122F">
      <w:pPr>
        <w:autoSpaceDE w:val="0"/>
        <w:autoSpaceDN w:val="0"/>
        <w:adjustRightInd w:val="0"/>
        <w:spacing w:after="0"/>
        <w:jc w:val="both"/>
        <w:rPr>
          <w:rFonts w:ascii="Arial" w:hAnsi="Arial" w:cs="Arial"/>
          <w:iCs/>
          <w:sz w:val="20"/>
          <w:szCs w:val="20"/>
        </w:rPr>
      </w:pPr>
    </w:p>
    <w:p w:rsidR="005E4CB9" w:rsidRPr="00A06085" w:rsidRDefault="005E4CB9" w:rsidP="00D7122F">
      <w:pPr>
        <w:autoSpaceDE w:val="0"/>
        <w:autoSpaceDN w:val="0"/>
        <w:adjustRightInd w:val="0"/>
        <w:spacing w:after="0"/>
        <w:jc w:val="both"/>
        <w:rPr>
          <w:rFonts w:ascii="Arial" w:hAnsi="Arial" w:cs="Arial"/>
          <w:iCs/>
          <w:sz w:val="20"/>
          <w:szCs w:val="20"/>
        </w:rPr>
      </w:pPr>
      <w:r w:rsidRPr="00A06085">
        <w:rPr>
          <w:rFonts w:ascii="Arial" w:hAnsi="Arial" w:cs="Arial"/>
          <w:iCs/>
          <w:sz w:val="20"/>
          <w:szCs w:val="20"/>
        </w:rPr>
        <w:t>Não há respaldo legal para a incorporação de verbas de “funções gratificadas” tendo por base o período em que a servidora pertencia ao regime celetista, pois a contribuição previdenciária não foi vertida à entidade.</w:t>
      </w:r>
    </w:p>
    <w:p w:rsidR="00D7122F" w:rsidRDefault="00D7122F" w:rsidP="00D7122F">
      <w:pPr>
        <w:autoSpaceDE w:val="0"/>
        <w:autoSpaceDN w:val="0"/>
        <w:adjustRightInd w:val="0"/>
        <w:spacing w:after="0"/>
        <w:jc w:val="both"/>
        <w:rPr>
          <w:rFonts w:ascii="Arial" w:hAnsi="Arial" w:cs="Arial"/>
          <w:iCs/>
          <w:sz w:val="20"/>
          <w:szCs w:val="20"/>
        </w:rPr>
      </w:pPr>
    </w:p>
    <w:p w:rsidR="005E4CB9" w:rsidRPr="00A06085" w:rsidRDefault="005E4CB9" w:rsidP="00D7122F">
      <w:pPr>
        <w:autoSpaceDE w:val="0"/>
        <w:autoSpaceDN w:val="0"/>
        <w:adjustRightInd w:val="0"/>
        <w:spacing w:after="0"/>
        <w:jc w:val="both"/>
        <w:rPr>
          <w:rFonts w:ascii="Arial" w:hAnsi="Arial" w:cs="Arial"/>
          <w:iCs/>
          <w:sz w:val="20"/>
          <w:szCs w:val="20"/>
        </w:rPr>
      </w:pPr>
      <w:r w:rsidRPr="00A06085">
        <w:rPr>
          <w:rFonts w:ascii="Arial" w:hAnsi="Arial" w:cs="Arial"/>
          <w:iCs/>
          <w:sz w:val="20"/>
          <w:szCs w:val="20"/>
        </w:rPr>
        <w:t xml:space="preserve">O fato de o servidor inativado ter estado vinculado ao Regime Geral de Previdência Social durante certo período de tempo não lhe garante o cômputo </w:t>
      </w:r>
      <w:proofErr w:type="gramStart"/>
      <w:r w:rsidRPr="00A06085">
        <w:rPr>
          <w:rFonts w:ascii="Arial" w:hAnsi="Arial" w:cs="Arial"/>
          <w:iCs/>
          <w:sz w:val="20"/>
          <w:szCs w:val="20"/>
        </w:rPr>
        <w:t>nos  proventos</w:t>
      </w:r>
      <w:proofErr w:type="gramEnd"/>
      <w:r w:rsidRPr="00A06085">
        <w:rPr>
          <w:rFonts w:ascii="Arial" w:hAnsi="Arial" w:cs="Arial"/>
          <w:iCs/>
          <w:sz w:val="20"/>
          <w:szCs w:val="20"/>
        </w:rPr>
        <w:t xml:space="preserve"> de eventuais verbas transitórias recebidas no período, mas tão somente a contagem de tempo de contribuição.</w:t>
      </w:r>
    </w:p>
    <w:p w:rsidR="00D7122F" w:rsidRDefault="00D7122F" w:rsidP="00D7122F">
      <w:pPr>
        <w:autoSpaceDE w:val="0"/>
        <w:autoSpaceDN w:val="0"/>
        <w:adjustRightInd w:val="0"/>
        <w:spacing w:after="0"/>
        <w:jc w:val="both"/>
        <w:rPr>
          <w:rFonts w:ascii="Arial" w:hAnsi="Arial" w:cs="Arial"/>
          <w:sz w:val="20"/>
          <w:szCs w:val="20"/>
        </w:rPr>
      </w:pPr>
    </w:p>
    <w:p w:rsidR="005E4CB9" w:rsidRDefault="005E4CB9" w:rsidP="00D7122F">
      <w:pPr>
        <w:autoSpaceDE w:val="0"/>
        <w:autoSpaceDN w:val="0"/>
        <w:adjustRightInd w:val="0"/>
        <w:spacing w:after="0"/>
        <w:jc w:val="both"/>
        <w:rPr>
          <w:rFonts w:ascii="Arial" w:hAnsi="Arial" w:cs="Arial"/>
          <w:sz w:val="20"/>
          <w:szCs w:val="20"/>
        </w:rPr>
      </w:pPr>
      <w:r>
        <w:rPr>
          <w:rFonts w:ascii="Arial" w:hAnsi="Arial" w:cs="Arial"/>
          <w:sz w:val="20"/>
          <w:szCs w:val="20"/>
        </w:rPr>
        <w:t>O colegiado, então, negou registro à aposentadoria e determinou à Câmara Municipal que atenda as orient</w:t>
      </w:r>
      <w:r w:rsidR="00F521CB">
        <w:rPr>
          <w:rFonts w:ascii="Arial" w:hAnsi="Arial" w:cs="Arial"/>
          <w:sz w:val="20"/>
          <w:szCs w:val="20"/>
        </w:rPr>
        <w:t>ações e diretrizes emanadas pela</w:t>
      </w:r>
      <w:r>
        <w:rPr>
          <w:rFonts w:ascii="Arial" w:hAnsi="Arial" w:cs="Arial"/>
          <w:sz w:val="20"/>
          <w:szCs w:val="20"/>
        </w:rPr>
        <w:t xml:space="preserve"> entidade previdenciária municipal. </w:t>
      </w:r>
    </w:p>
    <w:p w:rsidR="00D7122F" w:rsidRDefault="00D7122F" w:rsidP="00D7122F">
      <w:pPr>
        <w:spacing w:after="0"/>
        <w:jc w:val="both"/>
        <w:rPr>
          <w:rFonts w:ascii="Arial" w:hAnsi="Arial" w:cs="Arial"/>
          <w:sz w:val="20"/>
          <w:szCs w:val="20"/>
        </w:rPr>
      </w:pPr>
      <w:bookmarkStart w:id="0" w:name="_GoBack"/>
      <w:bookmarkEnd w:id="0"/>
    </w:p>
    <w:p w:rsidR="005E4CB9" w:rsidRDefault="005E4CB9" w:rsidP="00D7122F">
      <w:pPr>
        <w:spacing w:after="0"/>
        <w:jc w:val="both"/>
        <w:rPr>
          <w:rFonts w:ascii="Arial" w:hAnsi="Arial" w:cs="Arial"/>
          <w:sz w:val="20"/>
          <w:szCs w:val="20"/>
        </w:rPr>
      </w:pPr>
      <w:r>
        <w:rPr>
          <w:rFonts w:ascii="Arial" w:hAnsi="Arial" w:cs="Arial"/>
          <w:sz w:val="20"/>
          <w:szCs w:val="20"/>
        </w:rPr>
        <w:t xml:space="preserve">Processo nº 102327/15 </w:t>
      </w:r>
      <w:r w:rsidR="00497EB3">
        <w:rPr>
          <w:rFonts w:ascii="Arial" w:hAnsi="Arial" w:cs="Arial"/>
          <w:sz w:val="20"/>
          <w:szCs w:val="20"/>
        </w:rPr>
        <w:t>-</w:t>
      </w:r>
      <w:r>
        <w:rPr>
          <w:rFonts w:ascii="Arial" w:hAnsi="Arial" w:cs="Arial"/>
          <w:sz w:val="20"/>
          <w:szCs w:val="20"/>
        </w:rPr>
        <w:t xml:space="preserve"> </w:t>
      </w:r>
      <w:hyperlink r:id="rId11" w:history="1">
        <w:r w:rsidRPr="00805916">
          <w:rPr>
            <w:rStyle w:val="Hyperlink"/>
            <w:rFonts w:ascii="Arial" w:hAnsi="Arial" w:cs="Arial"/>
            <w:sz w:val="20"/>
            <w:szCs w:val="20"/>
          </w:rPr>
          <w:t xml:space="preserve">Acórdão nº 4651/17 </w:t>
        </w:r>
        <w:r w:rsidR="00497EB3">
          <w:rPr>
            <w:rStyle w:val="Hyperlink"/>
            <w:rFonts w:ascii="Arial" w:hAnsi="Arial" w:cs="Arial"/>
            <w:sz w:val="20"/>
            <w:szCs w:val="20"/>
          </w:rPr>
          <w:t>-</w:t>
        </w:r>
        <w:r w:rsidRPr="00805916">
          <w:rPr>
            <w:rStyle w:val="Hyperlink"/>
            <w:rFonts w:ascii="Arial" w:hAnsi="Arial" w:cs="Arial"/>
            <w:sz w:val="20"/>
            <w:szCs w:val="20"/>
          </w:rPr>
          <w:t xml:space="preserve"> Primeira Câmara</w:t>
        </w:r>
      </w:hyperlink>
      <w:r w:rsidR="00497EB3">
        <w:rPr>
          <w:rStyle w:val="Hyperlink"/>
          <w:rFonts w:ascii="Arial" w:hAnsi="Arial" w:cs="Arial"/>
          <w:sz w:val="20"/>
          <w:szCs w:val="20"/>
        </w:rPr>
        <w:t>.</w:t>
      </w:r>
      <w:r w:rsidR="00497EB3" w:rsidRPr="00497EB3">
        <w:rPr>
          <w:rStyle w:val="Hyperlink"/>
          <w:rFonts w:ascii="Arial" w:hAnsi="Arial" w:cs="Arial"/>
          <w:sz w:val="20"/>
          <w:szCs w:val="20"/>
          <w:u w:val="none"/>
        </w:rPr>
        <w:t xml:space="preserve"> </w:t>
      </w:r>
      <w:r>
        <w:rPr>
          <w:rFonts w:ascii="Arial" w:hAnsi="Arial" w:cs="Arial"/>
          <w:sz w:val="20"/>
          <w:szCs w:val="20"/>
        </w:rPr>
        <w:t xml:space="preserve">Rel. Conselheiro Fernando Augusto Mello Guimarães. </w:t>
      </w:r>
    </w:p>
    <w:p w:rsidR="005E4CB9" w:rsidRDefault="005E4CB9" w:rsidP="00D7122F">
      <w:pPr>
        <w:spacing w:after="0"/>
        <w:jc w:val="both"/>
        <w:rPr>
          <w:rFonts w:ascii="Arial" w:hAnsi="Arial" w:cs="Arial"/>
          <w:b/>
          <w:sz w:val="20"/>
          <w:szCs w:val="20"/>
        </w:rPr>
      </w:pPr>
    </w:p>
    <w:p w:rsidR="005E4CB9" w:rsidRPr="00190E61" w:rsidRDefault="005E4CB9" w:rsidP="00D7122F">
      <w:pPr>
        <w:spacing w:after="0"/>
        <w:jc w:val="both"/>
        <w:rPr>
          <w:rFonts w:ascii="Arial" w:hAnsi="Arial" w:cs="Arial"/>
          <w:b/>
          <w:sz w:val="20"/>
          <w:szCs w:val="20"/>
        </w:rPr>
      </w:pPr>
      <w:r>
        <w:rPr>
          <w:rFonts w:ascii="Arial" w:hAnsi="Arial" w:cs="Arial"/>
          <w:b/>
          <w:sz w:val="20"/>
          <w:szCs w:val="20"/>
        </w:rPr>
        <w:t xml:space="preserve">5. </w:t>
      </w:r>
      <w:r w:rsidRPr="00190E61">
        <w:rPr>
          <w:rFonts w:ascii="Arial" w:hAnsi="Arial" w:cs="Arial"/>
          <w:b/>
          <w:sz w:val="20"/>
          <w:szCs w:val="20"/>
        </w:rPr>
        <w:t xml:space="preserve">Tomada de Contas Extraordinária. Comunicação de irregularidade. Contratação de empresa para requerer administrativamente a compensação de valores de contribuições previdenciárias e redução da alíquota de contribuição do RAT. Serviços que não exigem notória especialização, podendo ser realizados pelos servidores municipais. Caracterização de lesão ao erário. Irregularidade das contas. </w:t>
      </w:r>
    </w:p>
    <w:p w:rsidR="00D7122F" w:rsidRDefault="00D7122F" w:rsidP="00D7122F">
      <w:pPr>
        <w:spacing w:after="0"/>
        <w:jc w:val="both"/>
        <w:rPr>
          <w:rFonts w:ascii="Arial" w:hAnsi="Arial" w:cs="Arial"/>
          <w:sz w:val="20"/>
          <w:szCs w:val="20"/>
        </w:rPr>
      </w:pPr>
    </w:p>
    <w:p w:rsidR="005E4CB9" w:rsidRDefault="005E4CB9" w:rsidP="00D7122F">
      <w:pPr>
        <w:spacing w:after="0"/>
        <w:jc w:val="both"/>
        <w:rPr>
          <w:rFonts w:ascii="Arial" w:hAnsi="Arial" w:cs="Arial"/>
          <w:sz w:val="20"/>
          <w:szCs w:val="20"/>
        </w:rPr>
      </w:pPr>
      <w:r w:rsidRPr="00F120F8">
        <w:rPr>
          <w:rFonts w:ascii="Arial" w:hAnsi="Arial" w:cs="Arial"/>
          <w:sz w:val="20"/>
          <w:szCs w:val="20"/>
        </w:rPr>
        <w:t xml:space="preserve">Este Tribunal de Contas possui entendimento consolidado nos termos do </w:t>
      </w:r>
      <w:r>
        <w:rPr>
          <w:rFonts w:ascii="Arial" w:hAnsi="Arial" w:cs="Arial"/>
          <w:sz w:val="20"/>
          <w:szCs w:val="20"/>
        </w:rPr>
        <w:t xml:space="preserve">Prejulgado nº 06 de que a terceirização de serviços jurídicos somente pode ocorrer quando: a) comprovada a realização de concurso público infrutífero; b) através de procedimento licitatório; c) obedecido  o prazo previsto no art. 57, II da Lei nº 8.666/93; d) o valor máximo pago à terceirizada for o mesmo que seria o pago ao servidor efetivo; e) haja possibilidade de responsabilização da contratada; f) haja responsabilidade do gestor pela fiscalização do contrato. </w:t>
      </w:r>
    </w:p>
    <w:p w:rsidR="00D7122F" w:rsidRDefault="00D7122F" w:rsidP="00D7122F">
      <w:pPr>
        <w:spacing w:after="0"/>
        <w:jc w:val="both"/>
        <w:rPr>
          <w:rFonts w:ascii="Arial" w:hAnsi="Arial" w:cs="Arial"/>
          <w:sz w:val="20"/>
          <w:szCs w:val="20"/>
        </w:rPr>
      </w:pPr>
    </w:p>
    <w:p w:rsidR="005E4CB9" w:rsidRDefault="005E4CB9" w:rsidP="00D7122F">
      <w:pPr>
        <w:spacing w:after="0"/>
        <w:jc w:val="both"/>
        <w:rPr>
          <w:rFonts w:ascii="Arial" w:hAnsi="Arial" w:cs="Arial"/>
          <w:sz w:val="20"/>
          <w:szCs w:val="20"/>
        </w:rPr>
      </w:pPr>
      <w:r>
        <w:rPr>
          <w:rFonts w:ascii="Arial" w:hAnsi="Arial" w:cs="Arial"/>
          <w:sz w:val="20"/>
          <w:szCs w:val="20"/>
        </w:rPr>
        <w:t xml:space="preserve">O </w:t>
      </w:r>
      <w:proofErr w:type="gramStart"/>
      <w:r>
        <w:rPr>
          <w:rFonts w:ascii="Arial" w:hAnsi="Arial" w:cs="Arial"/>
          <w:sz w:val="20"/>
          <w:szCs w:val="20"/>
        </w:rPr>
        <w:t>referido Prejulgado</w:t>
      </w:r>
      <w:proofErr w:type="gramEnd"/>
      <w:r>
        <w:rPr>
          <w:rFonts w:ascii="Arial" w:hAnsi="Arial" w:cs="Arial"/>
          <w:sz w:val="20"/>
          <w:szCs w:val="20"/>
        </w:rPr>
        <w:t xml:space="preserve"> ainda faz uma ressalva de que é possível a terceirização de serviços jurídicos para questões que exijam notória especialização, em que haja singularidade do objeto ou quando se trate de demanda de alta complexidade. </w:t>
      </w:r>
    </w:p>
    <w:p w:rsidR="00497EB3" w:rsidRDefault="00497EB3" w:rsidP="00D7122F">
      <w:pPr>
        <w:spacing w:after="0"/>
        <w:jc w:val="both"/>
        <w:rPr>
          <w:rFonts w:ascii="Arial" w:hAnsi="Arial" w:cs="Arial"/>
          <w:sz w:val="20"/>
          <w:szCs w:val="20"/>
        </w:rPr>
      </w:pPr>
    </w:p>
    <w:p w:rsidR="005E4CB9" w:rsidRDefault="005E4CB9" w:rsidP="00D7122F">
      <w:pPr>
        <w:spacing w:after="0"/>
        <w:jc w:val="both"/>
        <w:rPr>
          <w:rFonts w:ascii="Arial" w:hAnsi="Arial" w:cs="Arial"/>
          <w:sz w:val="20"/>
          <w:szCs w:val="20"/>
        </w:rPr>
      </w:pPr>
      <w:r>
        <w:rPr>
          <w:rFonts w:ascii="Arial" w:hAnsi="Arial" w:cs="Arial"/>
          <w:sz w:val="20"/>
          <w:szCs w:val="20"/>
        </w:rPr>
        <w:t xml:space="preserve">A compensação de verbas recolhidas indevidamente ao INSS é realizada administrativamente, não necessitando de profundos conhecimentos. O mesmo se diga em relação ao RAT, que se trata também de atividade administrativa corriqueira e permanente. </w:t>
      </w:r>
    </w:p>
    <w:p w:rsidR="00D7122F" w:rsidRDefault="00D7122F" w:rsidP="00D7122F">
      <w:pPr>
        <w:spacing w:after="0"/>
        <w:jc w:val="both"/>
        <w:rPr>
          <w:rFonts w:ascii="Arial" w:hAnsi="Arial" w:cs="Arial"/>
          <w:sz w:val="20"/>
          <w:szCs w:val="20"/>
        </w:rPr>
      </w:pPr>
    </w:p>
    <w:p w:rsidR="005E4CB9" w:rsidRPr="00F120F8" w:rsidRDefault="005E4CB9" w:rsidP="00D7122F">
      <w:pPr>
        <w:spacing w:after="0"/>
        <w:jc w:val="both"/>
        <w:rPr>
          <w:rFonts w:ascii="Arial" w:hAnsi="Arial" w:cs="Arial"/>
          <w:sz w:val="20"/>
          <w:szCs w:val="20"/>
        </w:rPr>
      </w:pPr>
      <w:r>
        <w:rPr>
          <w:rFonts w:ascii="Arial" w:hAnsi="Arial" w:cs="Arial"/>
          <w:sz w:val="20"/>
          <w:szCs w:val="20"/>
        </w:rPr>
        <w:t xml:space="preserve">Entre outros pontos, dado que a natureza de tais atividades não justifica a terceirização, o colegiado julgou irregular a tomada de </w:t>
      </w:r>
      <w:proofErr w:type="gramStart"/>
      <w:r>
        <w:rPr>
          <w:rFonts w:ascii="Arial" w:hAnsi="Arial" w:cs="Arial"/>
          <w:sz w:val="20"/>
          <w:szCs w:val="20"/>
        </w:rPr>
        <w:t>contas  e</w:t>
      </w:r>
      <w:proofErr w:type="gramEnd"/>
      <w:r>
        <w:rPr>
          <w:rFonts w:ascii="Arial" w:hAnsi="Arial" w:cs="Arial"/>
          <w:sz w:val="20"/>
          <w:szCs w:val="20"/>
        </w:rPr>
        <w:t xml:space="preserve"> determinou o ressarcimento ao erário  do valor integral dos pagamentos com aplicação de multa. </w:t>
      </w:r>
    </w:p>
    <w:p w:rsidR="00D7122F" w:rsidRDefault="00D7122F" w:rsidP="00D7122F">
      <w:pPr>
        <w:spacing w:after="0"/>
        <w:jc w:val="both"/>
        <w:rPr>
          <w:rFonts w:ascii="Arial" w:hAnsi="Arial" w:cs="Arial"/>
          <w:sz w:val="20"/>
          <w:szCs w:val="20"/>
        </w:rPr>
      </w:pPr>
    </w:p>
    <w:p w:rsidR="005E4CB9" w:rsidRDefault="005E4CB9" w:rsidP="00D7122F">
      <w:pPr>
        <w:spacing w:after="0"/>
        <w:jc w:val="both"/>
        <w:rPr>
          <w:rFonts w:ascii="Arial" w:hAnsi="Arial" w:cs="Arial"/>
          <w:sz w:val="20"/>
          <w:szCs w:val="20"/>
        </w:rPr>
      </w:pPr>
      <w:r>
        <w:rPr>
          <w:rFonts w:ascii="Arial" w:hAnsi="Arial" w:cs="Arial"/>
          <w:sz w:val="20"/>
          <w:szCs w:val="20"/>
        </w:rPr>
        <w:t xml:space="preserve">Processo nº 826590/16 </w:t>
      </w:r>
      <w:r w:rsidR="00497EB3">
        <w:rPr>
          <w:rFonts w:ascii="Arial" w:hAnsi="Arial" w:cs="Arial"/>
          <w:sz w:val="20"/>
          <w:szCs w:val="20"/>
        </w:rPr>
        <w:t>-</w:t>
      </w:r>
      <w:r>
        <w:rPr>
          <w:rFonts w:ascii="Arial" w:hAnsi="Arial" w:cs="Arial"/>
          <w:sz w:val="20"/>
          <w:szCs w:val="20"/>
        </w:rPr>
        <w:t xml:space="preserve"> </w:t>
      </w:r>
      <w:hyperlink r:id="rId12" w:history="1">
        <w:r w:rsidRPr="00604369">
          <w:rPr>
            <w:rStyle w:val="Hyperlink"/>
            <w:rFonts w:ascii="Arial" w:hAnsi="Arial" w:cs="Arial"/>
            <w:sz w:val="20"/>
            <w:szCs w:val="20"/>
          </w:rPr>
          <w:t>Acórdão nº 4647/17-Primeira Câmara</w:t>
        </w:r>
      </w:hyperlink>
      <w:r w:rsidR="00497EB3">
        <w:rPr>
          <w:rStyle w:val="Hyperlink"/>
          <w:rFonts w:ascii="Arial" w:hAnsi="Arial" w:cs="Arial"/>
          <w:sz w:val="20"/>
          <w:szCs w:val="20"/>
        </w:rPr>
        <w:t>.</w:t>
      </w:r>
      <w:r>
        <w:rPr>
          <w:rFonts w:ascii="Arial" w:hAnsi="Arial" w:cs="Arial"/>
          <w:sz w:val="20"/>
          <w:szCs w:val="20"/>
        </w:rPr>
        <w:t xml:space="preserve"> Rel. Conselheiro Fernando Augusto Mello Guimarães.  </w:t>
      </w:r>
    </w:p>
    <w:p w:rsidR="005E4CB9" w:rsidRDefault="005E4CB9" w:rsidP="005E4CB9">
      <w:pPr>
        <w:spacing w:after="120"/>
        <w:jc w:val="both"/>
        <w:rPr>
          <w:rFonts w:ascii="Arial" w:hAnsi="Arial" w:cs="Arial"/>
          <w:sz w:val="20"/>
          <w:szCs w:val="20"/>
        </w:rPr>
      </w:pPr>
    </w:p>
    <w:p w:rsidR="00EC3842" w:rsidRPr="0022060B" w:rsidRDefault="00EC3842" w:rsidP="00A06085">
      <w:pPr>
        <w:shd w:val="pct10" w:color="auto" w:fill="auto"/>
        <w:spacing w:after="120"/>
        <w:jc w:val="center"/>
        <w:rPr>
          <w:rFonts w:ascii="Arial" w:hAnsi="Arial" w:cs="Arial"/>
          <w:b/>
          <w:sz w:val="20"/>
          <w:szCs w:val="20"/>
        </w:rPr>
      </w:pPr>
      <w:r w:rsidRPr="0022060B">
        <w:rPr>
          <w:rFonts w:ascii="Arial" w:hAnsi="Arial" w:cs="Arial"/>
          <w:b/>
          <w:sz w:val="20"/>
          <w:szCs w:val="20"/>
        </w:rPr>
        <w:t>SEGUNDA CÂMARA</w:t>
      </w:r>
    </w:p>
    <w:p w:rsidR="006A750E" w:rsidRPr="00A06085" w:rsidRDefault="005E4CB9" w:rsidP="00D7122F">
      <w:pPr>
        <w:autoSpaceDE w:val="0"/>
        <w:autoSpaceDN w:val="0"/>
        <w:adjustRightInd w:val="0"/>
        <w:spacing w:after="0"/>
        <w:jc w:val="both"/>
        <w:rPr>
          <w:rFonts w:ascii="Arial" w:hAnsi="Arial" w:cs="Arial"/>
          <w:b/>
          <w:sz w:val="20"/>
          <w:szCs w:val="20"/>
        </w:rPr>
      </w:pPr>
      <w:r w:rsidRPr="00A06085">
        <w:rPr>
          <w:rFonts w:ascii="Arial" w:hAnsi="Arial" w:cs="Arial"/>
          <w:b/>
          <w:sz w:val="20"/>
          <w:szCs w:val="20"/>
        </w:rPr>
        <w:t xml:space="preserve">6. </w:t>
      </w:r>
      <w:r w:rsidR="006A750E" w:rsidRPr="00A06085">
        <w:rPr>
          <w:rFonts w:ascii="Arial" w:hAnsi="Arial" w:cs="Arial"/>
          <w:b/>
          <w:sz w:val="20"/>
          <w:szCs w:val="20"/>
        </w:rPr>
        <w:t>Serviço Público. Terceirização. Contratação temporária. Agentes Comunitários e Agente de Combate às Endemias. Proibição.</w:t>
      </w:r>
    </w:p>
    <w:p w:rsidR="00D7122F" w:rsidRDefault="00D7122F" w:rsidP="00D7122F">
      <w:pPr>
        <w:autoSpaceDE w:val="0"/>
        <w:autoSpaceDN w:val="0"/>
        <w:adjustRightInd w:val="0"/>
        <w:spacing w:after="0"/>
        <w:jc w:val="both"/>
        <w:rPr>
          <w:rFonts w:ascii="Arial" w:hAnsi="Arial" w:cs="Arial"/>
          <w:sz w:val="20"/>
          <w:szCs w:val="20"/>
        </w:rPr>
      </w:pPr>
    </w:p>
    <w:p w:rsidR="00FA5B5E" w:rsidRDefault="006A750E" w:rsidP="00D7122F">
      <w:pPr>
        <w:autoSpaceDE w:val="0"/>
        <w:autoSpaceDN w:val="0"/>
        <w:adjustRightInd w:val="0"/>
        <w:spacing w:after="0"/>
        <w:jc w:val="both"/>
        <w:rPr>
          <w:rFonts w:ascii="Arial" w:hAnsi="Arial" w:cs="Arial"/>
          <w:sz w:val="20"/>
          <w:szCs w:val="20"/>
        </w:rPr>
      </w:pPr>
      <w:r w:rsidRPr="00A06085">
        <w:rPr>
          <w:rFonts w:ascii="Arial" w:hAnsi="Arial" w:cs="Arial"/>
          <w:sz w:val="20"/>
          <w:szCs w:val="20"/>
        </w:rPr>
        <w:t>A contratação de Agentes Comunitários e Agente</w:t>
      </w:r>
      <w:r w:rsidR="00A836D5">
        <w:rPr>
          <w:rFonts w:ascii="Arial" w:hAnsi="Arial" w:cs="Arial"/>
          <w:sz w:val="20"/>
          <w:szCs w:val="20"/>
        </w:rPr>
        <w:t>s</w:t>
      </w:r>
      <w:r w:rsidRPr="00A06085">
        <w:rPr>
          <w:rFonts w:ascii="Arial" w:hAnsi="Arial" w:cs="Arial"/>
          <w:sz w:val="20"/>
          <w:szCs w:val="20"/>
        </w:rPr>
        <w:t xml:space="preserve"> de Combate às Endemias é regulada por legislação específica, a Lei Federal nº 11.350/2006, que prescreve em seu art. 16 a vedação a contratação temporária ou terceirizada de Agentes Comunitários de Saúde e de Agentes de Combate às Endemias, salvo na hipótese de combate a surtos endêmicos, na forma da lei aplicável. </w:t>
      </w:r>
    </w:p>
    <w:p w:rsidR="00FA5B5E" w:rsidRDefault="00FA5B5E" w:rsidP="00D7122F">
      <w:pPr>
        <w:autoSpaceDE w:val="0"/>
        <w:autoSpaceDN w:val="0"/>
        <w:adjustRightInd w:val="0"/>
        <w:spacing w:after="0"/>
        <w:jc w:val="both"/>
        <w:rPr>
          <w:rFonts w:ascii="Arial" w:hAnsi="Arial" w:cs="Arial"/>
          <w:sz w:val="20"/>
          <w:szCs w:val="20"/>
        </w:rPr>
      </w:pPr>
    </w:p>
    <w:p w:rsidR="00052E3D" w:rsidRDefault="006A750E" w:rsidP="00D7122F">
      <w:pPr>
        <w:autoSpaceDE w:val="0"/>
        <w:autoSpaceDN w:val="0"/>
        <w:adjustRightInd w:val="0"/>
        <w:spacing w:after="0"/>
        <w:jc w:val="both"/>
        <w:rPr>
          <w:rFonts w:ascii="Arial" w:hAnsi="Arial" w:cs="Arial"/>
          <w:sz w:val="20"/>
          <w:szCs w:val="20"/>
        </w:rPr>
      </w:pPr>
      <w:r w:rsidRPr="00A06085">
        <w:rPr>
          <w:rFonts w:ascii="Arial" w:hAnsi="Arial" w:cs="Arial"/>
          <w:sz w:val="20"/>
          <w:szCs w:val="20"/>
        </w:rPr>
        <w:t xml:space="preserve">A Lei Federal nº 11.350/2006 é aplicável a todos os entes federados, respeitadas as respectivas autonomias para adequar o seu conteúdo à realidade local, não se tratando, contudo, de mera opção. </w:t>
      </w:r>
    </w:p>
    <w:p w:rsidR="00052E3D" w:rsidRDefault="00052E3D" w:rsidP="00D7122F">
      <w:pPr>
        <w:autoSpaceDE w:val="0"/>
        <w:autoSpaceDN w:val="0"/>
        <w:adjustRightInd w:val="0"/>
        <w:spacing w:after="0"/>
        <w:jc w:val="both"/>
        <w:rPr>
          <w:rFonts w:ascii="Arial" w:hAnsi="Arial" w:cs="Arial"/>
          <w:sz w:val="20"/>
          <w:szCs w:val="20"/>
        </w:rPr>
      </w:pPr>
    </w:p>
    <w:p w:rsidR="006A750E" w:rsidRPr="00A06085" w:rsidRDefault="006A750E" w:rsidP="00D7122F">
      <w:pPr>
        <w:autoSpaceDE w:val="0"/>
        <w:autoSpaceDN w:val="0"/>
        <w:adjustRightInd w:val="0"/>
        <w:spacing w:after="0"/>
        <w:jc w:val="both"/>
        <w:rPr>
          <w:rFonts w:ascii="Arial" w:hAnsi="Arial" w:cs="Arial"/>
          <w:sz w:val="20"/>
          <w:szCs w:val="20"/>
        </w:rPr>
      </w:pPr>
      <w:r w:rsidRPr="00A06085">
        <w:rPr>
          <w:rFonts w:ascii="Arial" w:hAnsi="Arial" w:cs="Arial"/>
          <w:sz w:val="20"/>
          <w:szCs w:val="20"/>
        </w:rPr>
        <w:t>Segundo entendimento consolidado nesta Corte de Contas, o art. 2º da referida lei dispôs que o exercício de tais atividades dar-se-ia exclusivamente no âmbito do Sistema Único de Saúde, “mediante vínculo direto entre os referidos Agentes e órgão ou entidade da administração direta, autárquica ou fundacional”, razão pela qual a terceirização inconstitucional das atividades dos agentes comunitários de saúde merece ser fundamento, também, para o julgamento pela irregularidade das contas.</w:t>
      </w:r>
    </w:p>
    <w:p w:rsidR="00D7122F" w:rsidRDefault="00D7122F" w:rsidP="00D7122F">
      <w:pPr>
        <w:autoSpaceDE w:val="0"/>
        <w:autoSpaceDN w:val="0"/>
        <w:adjustRightInd w:val="0"/>
        <w:spacing w:after="0"/>
        <w:jc w:val="both"/>
        <w:rPr>
          <w:rFonts w:ascii="Arial" w:hAnsi="Arial" w:cs="Arial"/>
          <w:sz w:val="20"/>
          <w:szCs w:val="20"/>
        </w:rPr>
      </w:pPr>
    </w:p>
    <w:p w:rsidR="006A750E" w:rsidRPr="00A06085" w:rsidRDefault="006A750E" w:rsidP="00D7122F">
      <w:pPr>
        <w:autoSpaceDE w:val="0"/>
        <w:autoSpaceDN w:val="0"/>
        <w:adjustRightInd w:val="0"/>
        <w:spacing w:after="0"/>
        <w:jc w:val="both"/>
        <w:rPr>
          <w:rFonts w:ascii="Arial" w:hAnsi="Arial" w:cs="Arial"/>
          <w:sz w:val="20"/>
          <w:szCs w:val="20"/>
        </w:rPr>
      </w:pPr>
      <w:r w:rsidRPr="00A06085">
        <w:rPr>
          <w:rFonts w:ascii="Arial" w:hAnsi="Arial" w:cs="Arial"/>
          <w:sz w:val="20"/>
          <w:szCs w:val="20"/>
        </w:rPr>
        <w:t>Processo nº 960536/15</w:t>
      </w:r>
      <w:r w:rsidR="00FA5B5E">
        <w:rPr>
          <w:rFonts w:ascii="Arial" w:hAnsi="Arial" w:cs="Arial"/>
          <w:sz w:val="20"/>
          <w:szCs w:val="20"/>
        </w:rPr>
        <w:t xml:space="preserve"> - </w:t>
      </w:r>
      <w:hyperlink r:id="rId13" w:history="1">
        <w:r w:rsidRPr="00A06085">
          <w:rPr>
            <w:rStyle w:val="Hyperlink"/>
            <w:rFonts w:ascii="Arial" w:hAnsi="Arial" w:cs="Arial"/>
            <w:sz w:val="20"/>
            <w:szCs w:val="20"/>
          </w:rPr>
          <w:t xml:space="preserve">Acórdão 4567/17 </w:t>
        </w:r>
        <w:r w:rsidR="00052E3D">
          <w:rPr>
            <w:rStyle w:val="Hyperlink"/>
            <w:rFonts w:ascii="Arial" w:hAnsi="Arial" w:cs="Arial"/>
            <w:sz w:val="20"/>
            <w:szCs w:val="20"/>
          </w:rPr>
          <w:t>-</w:t>
        </w:r>
        <w:r w:rsidRPr="00A06085">
          <w:rPr>
            <w:rStyle w:val="Hyperlink"/>
            <w:rFonts w:ascii="Arial" w:hAnsi="Arial" w:cs="Arial"/>
            <w:sz w:val="20"/>
            <w:szCs w:val="20"/>
          </w:rPr>
          <w:t xml:space="preserve"> Segunda Câmara</w:t>
        </w:r>
      </w:hyperlink>
      <w:r w:rsidRPr="00A06085">
        <w:rPr>
          <w:rFonts w:ascii="Arial" w:hAnsi="Arial" w:cs="Arial"/>
          <w:sz w:val="20"/>
          <w:szCs w:val="20"/>
        </w:rPr>
        <w:t xml:space="preserve">. Relator Conselheiro Ivens Zschoerper Linhares. </w:t>
      </w:r>
    </w:p>
    <w:p w:rsidR="006A750E" w:rsidRPr="00A06085" w:rsidRDefault="006A750E" w:rsidP="00D7122F">
      <w:pPr>
        <w:autoSpaceDE w:val="0"/>
        <w:autoSpaceDN w:val="0"/>
        <w:adjustRightInd w:val="0"/>
        <w:spacing w:after="0"/>
        <w:jc w:val="both"/>
        <w:rPr>
          <w:rFonts w:ascii="Arial" w:hAnsi="Arial" w:cs="Arial"/>
          <w:sz w:val="20"/>
          <w:szCs w:val="20"/>
        </w:rPr>
      </w:pPr>
    </w:p>
    <w:p w:rsidR="006A750E" w:rsidRPr="00A06085" w:rsidRDefault="005E4CB9" w:rsidP="00D7122F">
      <w:pPr>
        <w:autoSpaceDE w:val="0"/>
        <w:autoSpaceDN w:val="0"/>
        <w:adjustRightInd w:val="0"/>
        <w:spacing w:after="0"/>
        <w:jc w:val="both"/>
        <w:rPr>
          <w:rFonts w:ascii="Arial" w:hAnsi="Arial" w:cs="Arial"/>
          <w:b/>
          <w:sz w:val="20"/>
          <w:szCs w:val="20"/>
        </w:rPr>
      </w:pPr>
      <w:r w:rsidRPr="00A06085">
        <w:rPr>
          <w:rFonts w:ascii="Arial" w:hAnsi="Arial" w:cs="Arial"/>
          <w:b/>
          <w:sz w:val="20"/>
          <w:szCs w:val="20"/>
        </w:rPr>
        <w:t xml:space="preserve">7. </w:t>
      </w:r>
      <w:r w:rsidR="006A750E" w:rsidRPr="00A06085">
        <w:rPr>
          <w:rFonts w:ascii="Arial" w:hAnsi="Arial" w:cs="Arial"/>
          <w:b/>
          <w:sz w:val="20"/>
          <w:szCs w:val="20"/>
        </w:rPr>
        <w:t xml:space="preserve">Consórcio Público. Receita. Ocultação. Responsabilidade. </w:t>
      </w:r>
      <w:proofErr w:type="spellStart"/>
      <w:r w:rsidR="006A750E" w:rsidRPr="00A06085">
        <w:rPr>
          <w:rFonts w:ascii="Arial" w:hAnsi="Arial" w:cs="Arial"/>
          <w:b/>
          <w:sz w:val="20"/>
          <w:szCs w:val="20"/>
        </w:rPr>
        <w:t>Dano</w:t>
      </w:r>
      <w:proofErr w:type="spellEnd"/>
      <w:r w:rsidR="006A750E" w:rsidRPr="00A06085">
        <w:rPr>
          <w:rFonts w:ascii="Arial" w:hAnsi="Arial" w:cs="Arial"/>
          <w:b/>
          <w:sz w:val="20"/>
          <w:szCs w:val="20"/>
        </w:rPr>
        <w:t xml:space="preserve"> ao erário.</w:t>
      </w:r>
    </w:p>
    <w:p w:rsidR="00D7122F" w:rsidRDefault="00D7122F" w:rsidP="00D7122F">
      <w:pPr>
        <w:autoSpaceDE w:val="0"/>
        <w:autoSpaceDN w:val="0"/>
        <w:adjustRightInd w:val="0"/>
        <w:spacing w:after="0"/>
        <w:jc w:val="both"/>
        <w:rPr>
          <w:rFonts w:ascii="Arial" w:hAnsi="Arial" w:cs="Arial"/>
          <w:sz w:val="20"/>
          <w:szCs w:val="20"/>
        </w:rPr>
      </w:pPr>
    </w:p>
    <w:p w:rsidR="006A750E" w:rsidRPr="00A06085" w:rsidRDefault="006A750E" w:rsidP="00D7122F">
      <w:pPr>
        <w:autoSpaceDE w:val="0"/>
        <w:autoSpaceDN w:val="0"/>
        <w:adjustRightInd w:val="0"/>
        <w:spacing w:after="0"/>
        <w:jc w:val="both"/>
        <w:rPr>
          <w:rFonts w:ascii="Arial" w:hAnsi="Arial" w:cs="Arial"/>
          <w:sz w:val="20"/>
          <w:szCs w:val="20"/>
        </w:rPr>
      </w:pPr>
      <w:r w:rsidRPr="00A06085">
        <w:rPr>
          <w:rFonts w:ascii="Arial" w:hAnsi="Arial" w:cs="Arial"/>
          <w:sz w:val="20"/>
          <w:szCs w:val="20"/>
        </w:rPr>
        <w:t>Inconsistências entre os valores dos repasses informados pelos Municípios e os registrados no Consórcio, enseja</w:t>
      </w:r>
      <w:r w:rsidR="00B85AF7">
        <w:rPr>
          <w:rFonts w:ascii="Arial" w:hAnsi="Arial" w:cs="Arial"/>
          <w:sz w:val="20"/>
          <w:szCs w:val="20"/>
        </w:rPr>
        <w:t>m</w:t>
      </w:r>
      <w:r w:rsidRPr="00A06085">
        <w:rPr>
          <w:rFonts w:ascii="Arial" w:hAnsi="Arial" w:cs="Arial"/>
          <w:sz w:val="20"/>
          <w:szCs w:val="20"/>
        </w:rPr>
        <w:t xml:space="preserve"> irregularidade das contas do Ente omite as receitas, sem prejuízo de Tomada de Contas Extraordinária para apuração de eventual </w:t>
      </w:r>
      <w:proofErr w:type="spellStart"/>
      <w:r w:rsidRPr="00A06085">
        <w:rPr>
          <w:rFonts w:ascii="Arial" w:hAnsi="Arial" w:cs="Arial"/>
          <w:sz w:val="20"/>
          <w:szCs w:val="20"/>
        </w:rPr>
        <w:t>dano</w:t>
      </w:r>
      <w:proofErr w:type="spellEnd"/>
      <w:r w:rsidRPr="00A06085">
        <w:rPr>
          <w:rFonts w:ascii="Arial" w:hAnsi="Arial" w:cs="Arial"/>
          <w:sz w:val="20"/>
          <w:szCs w:val="20"/>
        </w:rPr>
        <w:t xml:space="preserve"> ao erário. </w:t>
      </w:r>
    </w:p>
    <w:p w:rsidR="00D7122F" w:rsidRDefault="00D7122F" w:rsidP="00D7122F">
      <w:pPr>
        <w:autoSpaceDE w:val="0"/>
        <w:autoSpaceDN w:val="0"/>
        <w:adjustRightInd w:val="0"/>
        <w:spacing w:after="0"/>
        <w:jc w:val="both"/>
        <w:rPr>
          <w:rFonts w:ascii="Arial" w:hAnsi="Arial" w:cs="Arial"/>
          <w:sz w:val="20"/>
          <w:szCs w:val="20"/>
        </w:rPr>
      </w:pPr>
    </w:p>
    <w:p w:rsidR="006A750E" w:rsidRPr="00A06085" w:rsidRDefault="006A750E" w:rsidP="00D7122F">
      <w:pPr>
        <w:autoSpaceDE w:val="0"/>
        <w:autoSpaceDN w:val="0"/>
        <w:adjustRightInd w:val="0"/>
        <w:spacing w:after="0"/>
        <w:jc w:val="both"/>
        <w:rPr>
          <w:rFonts w:ascii="Arial" w:hAnsi="Arial" w:cs="Arial"/>
          <w:sz w:val="20"/>
          <w:szCs w:val="20"/>
        </w:rPr>
      </w:pPr>
      <w:r w:rsidRPr="00A06085">
        <w:rPr>
          <w:rFonts w:ascii="Arial" w:hAnsi="Arial" w:cs="Arial"/>
          <w:sz w:val="20"/>
          <w:szCs w:val="20"/>
        </w:rPr>
        <w:t xml:space="preserve">Processos </w:t>
      </w:r>
      <w:r w:rsidR="00A06085">
        <w:rPr>
          <w:rFonts w:ascii="Arial" w:hAnsi="Arial" w:cs="Arial"/>
          <w:sz w:val="20"/>
          <w:szCs w:val="20"/>
        </w:rPr>
        <w:t xml:space="preserve">nº </w:t>
      </w:r>
      <w:r w:rsidRPr="00A06085">
        <w:rPr>
          <w:rFonts w:ascii="Arial" w:hAnsi="Arial" w:cs="Arial"/>
          <w:sz w:val="20"/>
          <w:szCs w:val="20"/>
        </w:rPr>
        <w:t>360075/15</w:t>
      </w:r>
      <w:r w:rsidR="00052E3D">
        <w:rPr>
          <w:rFonts w:ascii="Arial" w:hAnsi="Arial" w:cs="Arial"/>
          <w:sz w:val="20"/>
          <w:szCs w:val="20"/>
        </w:rPr>
        <w:t xml:space="preserve"> - </w:t>
      </w:r>
      <w:hyperlink r:id="rId14" w:history="1">
        <w:r w:rsidRPr="00A06085">
          <w:rPr>
            <w:rStyle w:val="Hyperlink"/>
            <w:rFonts w:ascii="Arial" w:hAnsi="Arial" w:cs="Arial"/>
            <w:sz w:val="20"/>
            <w:szCs w:val="20"/>
          </w:rPr>
          <w:t xml:space="preserve">Acórdão 4570/17 </w:t>
        </w:r>
        <w:r w:rsidR="00052E3D">
          <w:rPr>
            <w:rStyle w:val="Hyperlink"/>
            <w:rFonts w:ascii="Arial" w:hAnsi="Arial" w:cs="Arial"/>
            <w:sz w:val="20"/>
            <w:szCs w:val="20"/>
          </w:rPr>
          <w:t>-</w:t>
        </w:r>
        <w:r w:rsidRPr="00A06085">
          <w:rPr>
            <w:rStyle w:val="Hyperlink"/>
            <w:rFonts w:ascii="Arial" w:hAnsi="Arial" w:cs="Arial"/>
            <w:sz w:val="20"/>
            <w:szCs w:val="20"/>
          </w:rPr>
          <w:t xml:space="preserve"> Segunda Câmara</w:t>
        </w:r>
      </w:hyperlink>
      <w:r w:rsidRPr="00A06085">
        <w:rPr>
          <w:rFonts w:ascii="Arial" w:hAnsi="Arial" w:cs="Arial"/>
          <w:sz w:val="20"/>
          <w:szCs w:val="20"/>
        </w:rPr>
        <w:t>. Relator Conselheiro Ivens Zschoerper Linhares.</w:t>
      </w: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A06085">
      <w:pPr>
        <w:shd w:val="pct10" w:color="auto" w:fill="auto"/>
        <w:spacing w:after="120"/>
        <w:jc w:val="center"/>
        <w:rPr>
          <w:rFonts w:ascii="Arial" w:hAnsi="Arial" w:cs="Arial"/>
          <w:b/>
          <w:sz w:val="20"/>
          <w:szCs w:val="20"/>
        </w:rPr>
      </w:pPr>
      <w:r w:rsidRPr="0022060B">
        <w:rPr>
          <w:rFonts w:ascii="Arial" w:hAnsi="Arial" w:cs="Arial"/>
          <w:b/>
          <w:sz w:val="20"/>
          <w:szCs w:val="20"/>
        </w:rPr>
        <w:lastRenderedPageBreak/>
        <w:t>TRIBUNAL PLENO</w:t>
      </w:r>
    </w:p>
    <w:p w:rsidR="00052E3D" w:rsidRDefault="00052E3D" w:rsidP="00D7122F">
      <w:pPr>
        <w:spacing w:after="0"/>
        <w:jc w:val="both"/>
        <w:rPr>
          <w:rStyle w:val="Hyperlink"/>
          <w:rFonts w:ascii="Arial" w:hAnsi="Arial" w:cs="Arial"/>
          <w:b/>
          <w:color w:val="000000" w:themeColor="text1"/>
          <w:sz w:val="20"/>
          <w:szCs w:val="20"/>
          <w:u w:val="none"/>
        </w:rPr>
      </w:pPr>
    </w:p>
    <w:p w:rsidR="005E4CB9" w:rsidRPr="001205AF" w:rsidRDefault="005E4CB9" w:rsidP="00D7122F">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8. </w:t>
      </w:r>
      <w:r w:rsidRPr="001205AF">
        <w:rPr>
          <w:rStyle w:val="Hyperlink"/>
          <w:rFonts w:ascii="Arial" w:hAnsi="Arial" w:cs="Arial"/>
          <w:b/>
          <w:color w:val="000000" w:themeColor="text1"/>
          <w:sz w:val="20"/>
          <w:szCs w:val="20"/>
          <w:u w:val="none"/>
        </w:rPr>
        <w:t xml:space="preserve">Representação. Nomeação de servidor para função gratificada. Relação de parentesco. Sobrinha do Presidente da Câmara Municipal. Ocupante de cargo efetivo. Existência de subordinação hierárquica. Impossibilidade. Nepotismo. Prejulgado 09 deste Tribunal de Contas. Procedência com aplicação de multa.  </w:t>
      </w:r>
    </w:p>
    <w:p w:rsidR="00D7122F" w:rsidRDefault="00D7122F" w:rsidP="00D7122F">
      <w:pPr>
        <w:spacing w:after="0"/>
        <w:jc w:val="both"/>
        <w:rPr>
          <w:rStyle w:val="Hyperlink"/>
          <w:rFonts w:ascii="Arial" w:hAnsi="Arial" w:cs="Arial"/>
          <w:color w:val="000000" w:themeColor="text1"/>
          <w:sz w:val="20"/>
          <w:szCs w:val="20"/>
          <w:u w:val="none"/>
        </w:rPr>
      </w:pPr>
    </w:p>
    <w:p w:rsidR="005E4CB9" w:rsidRDefault="005E4CB9" w:rsidP="00D7122F">
      <w:pPr>
        <w:spacing w:after="0"/>
        <w:jc w:val="both"/>
        <w:rPr>
          <w:rStyle w:val="Hyperlink"/>
          <w:rFonts w:ascii="Arial" w:hAnsi="Arial" w:cs="Arial"/>
          <w:color w:val="000000" w:themeColor="text1"/>
          <w:sz w:val="20"/>
          <w:szCs w:val="20"/>
          <w:u w:val="none"/>
        </w:rPr>
      </w:pPr>
      <w:r w:rsidRPr="001205AF">
        <w:rPr>
          <w:rStyle w:val="Hyperlink"/>
          <w:rFonts w:ascii="Arial" w:hAnsi="Arial" w:cs="Arial"/>
          <w:color w:val="000000" w:themeColor="text1"/>
          <w:sz w:val="20"/>
          <w:szCs w:val="20"/>
          <w:u w:val="none"/>
        </w:rPr>
        <w:t>Sobre a atribuição de função gratificada a servidores ocupantes de cargos efetivos, o Prejulgado 09 admite sua ocorrência caso “observada a compatibilidade do grau de escolaridade do cargo de origem ou a compatibilidade da atividade que lhe seja afeta e a complexidade inerente ao cargo em comissão a ser exercido, além da qualificação profissional do servidor, ressalvada, em qualquer caso, a impossibilidade de subordinação hierárquica co</w:t>
      </w:r>
      <w:r>
        <w:rPr>
          <w:rStyle w:val="Hyperlink"/>
          <w:rFonts w:ascii="Arial" w:hAnsi="Arial" w:cs="Arial"/>
          <w:color w:val="000000" w:themeColor="text1"/>
          <w:sz w:val="20"/>
          <w:szCs w:val="20"/>
          <w:u w:val="none"/>
        </w:rPr>
        <w:t xml:space="preserve">m a autoridade que seja parente”. </w:t>
      </w:r>
    </w:p>
    <w:p w:rsidR="00D7122F" w:rsidRDefault="00D7122F" w:rsidP="00D7122F">
      <w:pPr>
        <w:spacing w:after="0"/>
        <w:jc w:val="both"/>
        <w:rPr>
          <w:rStyle w:val="Hyperlink"/>
          <w:rFonts w:ascii="Arial" w:hAnsi="Arial" w:cs="Arial"/>
          <w:color w:val="000000" w:themeColor="text1"/>
          <w:sz w:val="20"/>
          <w:szCs w:val="20"/>
          <w:u w:val="none"/>
        </w:rPr>
      </w:pPr>
    </w:p>
    <w:p w:rsidR="005E4CB9" w:rsidRDefault="005E4CB9" w:rsidP="00D7122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No caso em tela, o Presidente da Câmara Municipal nomeou a sobrinha para a função de Diretora de Compras do Legislativo, em clara violação aos preceitos referidos, haja vista a subordinação hierárquica existente.</w:t>
      </w:r>
    </w:p>
    <w:p w:rsidR="005E4CB9" w:rsidRDefault="005E4CB9" w:rsidP="00D7122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Procedente a Representação com aplicação de multa (art. 87, IV, “g” da Lei Orgânica deste Tribunal</w:t>
      </w:r>
      <w:r w:rsidR="003E4705">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p>
    <w:p w:rsidR="00D7122F" w:rsidRDefault="00D7122F" w:rsidP="00D7122F">
      <w:pPr>
        <w:spacing w:after="0"/>
        <w:jc w:val="both"/>
        <w:rPr>
          <w:rStyle w:val="Hyperlink"/>
          <w:rFonts w:ascii="Arial" w:hAnsi="Arial" w:cs="Arial"/>
          <w:color w:val="000000" w:themeColor="text1"/>
          <w:sz w:val="20"/>
          <w:szCs w:val="20"/>
          <w:u w:val="none"/>
        </w:rPr>
      </w:pPr>
    </w:p>
    <w:p w:rsidR="005E4CB9" w:rsidRPr="001205AF" w:rsidRDefault="005E4CB9" w:rsidP="00D7122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485594/13 </w:t>
      </w:r>
      <w:r w:rsidR="00052E3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5" w:history="1">
        <w:r w:rsidRPr="00604369">
          <w:rPr>
            <w:rStyle w:val="Hyperlink"/>
            <w:rFonts w:ascii="Arial" w:hAnsi="Arial" w:cs="Arial"/>
            <w:sz w:val="20"/>
            <w:szCs w:val="20"/>
          </w:rPr>
          <w:t>Acórdão nº 4635/17</w:t>
        </w:r>
        <w:r w:rsidR="00C6233C">
          <w:rPr>
            <w:rStyle w:val="Hyperlink"/>
            <w:rFonts w:ascii="Arial" w:hAnsi="Arial" w:cs="Arial"/>
            <w:sz w:val="20"/>
            <w:szCs w:val="20"/>
          </w:rPr>
          <w:t xml:space="preserve"> </w:t>
        </w:r>
        <w:r w:rsidRPr="00604369">
          <w:rPr>
            <w:rStyle w:val="Hyperlink"/>
            <w:rFonts w:ascii="Arial" w:hAnsi="Arial" w:cs="Arial"/>
            <w:sz w:val="20"/>
            <w:szCs w:val="20"/>
          </w:rPr>
          <w:t>-</w:t>
        </w:r>
        <w:r w:rsidR="00C6233C">
          <w:rPr>
            <w:rStyle w:val="Hyperlink"/>
            <w:rFonts w:ascii="Arial" w:hAnsi="Arial" w:cs="Arial"/>
            <w:sz w:val="20"/>
            <w:szCs w:val="20"/>
          </w:rPr>
          <w:t xml:space="preserve"> </w:t>
        </w:r>
        <w:r w:rsidRPr="00604369">
          <w:rPr>
            <w:rStyle w:val="Hyperlink"/>
            <w:rFonts w:ascii="Arial" w:hAnsi="Arial" w:cs="Arial"/>
            <w:sz w:val="20"/>
            <w:szCs w:val="20"/>
          </w:rPr>
          <w:t>Tribunal Pleno</w:t>
        </w:r>
      </w:hyperlink>
      <w:r w:rsidR="00052E3D">
        <w:rPr>
          <w:rStyle w:val="Hyperlink"/>
          <w:rFonts w:ascii="Arial" w:hAnsi="Arial" w:cs="Arial"/>
          <w:sz w:val="20"/>
          <w:szCs w:val="20"/>
        </w:rPr>
        <w:t>.</w:t>
      </w:r>
      <w:r w:rsidR="00052E3D" w:rsidRPr="00052E3D">
        <w:rPr>
          <w:rStyle w:val="Hyperlink"/>
          <w:rFonts w:ascii="Arial" w:hAnsi="Arial" w:cs="Arial"/>
          <w:sz w:val="20"/>
          <w:szCs w:val="20"/>
          <w:u w:val="none"/>
        </w:rPr>
        <w:t xml:space="preserve"> </w:t>
      </w:r>
      <w:r>
        <w:rPr>
          <w:rStyle w:val="Hyperlink"/>
          <w:rFonts w:ascii="Arial" w:hAnsi="Arial" w:cs="Arial"/>
          <w:color w:val="000000" w:themeColor="text1"/>
          <w:sz w:val="20"/>
          <w:szCs w:val="20"/>
          <w:u w:val="none"/>
        </w:rPr>
        <w:t xml:space="preserve">Rel. Conselheiro Ivan </w:t>
      </w:r>
      <w:proofErr w:type="spellStart"/>
      <w:r>
        <w:rPr>
          <w:rStyle w:val="Hyperlink"/>
          <w:rFonts w:ascii="Arial" w:hAnsi="Arial" w:cs="Arial"/>
          <w:color w:val="000000" w:themeColor="text1"/>
          <w:sz w:val="20"/>
          <w:szCs w:val="20"/>
          <w:u w:val="none"/>
        </w:rPr>
        <w:t>Lelis</w:t>
      </w:r>
      <w:proofErr w:type="spellEnd"/>
      <w:r>
        <w:rPr>
          <w:rStyle w:val="Hyperlink"/>
          <w:rFonts w:ascii="Arial" w:hAnsi="Arial" w:cs="Arial"/>
          <w:color w:val="000000" w:themeColor="text1"/>
          <w:sz w:val="20"/>
          <w:szCs w:val="20"/>
          <w:u w:val="none"/>
        </w:rPr>
        <w:t xml:space="preserve"> Bonilha. </w:t>
      </w:r>
    </w:p>
    <w:p w:rsidR="005E4CB9" w:rsidRDefault="005E4CB9" w:rsidP="00D7122F">
      <w:pPr>
        <w:spacing w:after="0"/>
        <w:jc w:val="both"/>
        <w:rPr>
          <w:rStyle w:val="Hyperlink"/>
          <w:rFonts w:ascii="Arial" w:hAnsi="Arial" w:cs="Arial"/>
          <w:b/>
          <w:color w:val="000000" w:themeColor="text1"/>
          <w:sz w:val="20"/>
          <w:szCs w:val="20"/>
          <w:u w:val="none"/>
        </w:rPr>
      </w:pPr>
    </w:p>
    <w:p w:rsidR="005E4CB9" w:rsidRPr="000A1036" w:rsidRDefault="005E4CB9" w:rsidP="00D7122F">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9. </w:t>
      </w:r>
      <w:r w:rsidRPr="000A1036">
        <w:rPr>
          <w:rStyle w:val="Hyperlink"/>
          <w:rFonts w:ascii="Arial" w:hAnsi="Arial" w:cs="Arial"/>
          <w:b/>
          <w:color w:val="000000" w:themeColor="text1"/>
          <w:sz w:val="20"/>
          <w:szCs w:val="20"/>
          <w:u w:val="none"/>
        </w:rPr>
        <w:t xml:space="preserve">Consulta.  Pagamento de estagiários com dotação do FUNDEB. Impossibilidade. </w:t>
      </w:r>
    </w:p>
    <w:p w:rsidR="00D7122F" w:rsidRDefault="00D7122F" w:rsidP="00D7122F">
      <w:pPr>
        <w:spacing w:after="0"/>
        <w:jc w:val="both"/>
        <w:rPr>
          <w:rStyle w:val="Hyperlink"/>
          <w:rFonts w:ascii="Arial" w:hAnsi="Arial" w:cs="Arial"/>
          <w:color w:val="000000" w:themeColor="text1"/>
          <w:sz w:val="20"/>
          <w:szCs w:val="20"/>
          <w:u w:val="none"/>
        </w:rPr>
      </w:pPr>
    </w:p>
    <w:p w:rsidR="005E4CB9" w:rsidRDefault="005E4CB9" w:rsidP="00D7122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Um dos questionamentos da Consulta em tela indagava sobre a possibilidade de a Administração Pública Municipal pagar estagiários utilizando dotação orçamentária oriunda do Fundo de Manutenção e Desenvolvimento da Educação Básica e de Valorização dos Profissionais da Educação </w:t>
      </w:r>
      <w:r w:rsidR="00052E3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FUNDEB.</w:t>
      </w:r>
    </w:p>
    <w:p w:rsidR="00D7122F" w:rsidRDefault="00D7122F" w:rsidP="00D7122F">
      <w:pPr>
        <w:spacing w:after="0"/>
        <w:jc w:val="both"/>
        <w:rPr>
          <w:rStyle w:val="Hyperlink"/>
          <w:rFonts w:ascii="Arial" w:hAnsi="Arial" w:cs="Arial"/>
          <w:color w:val="000000" w:themeColor="text1"/>
          <w:sz w:val="20"/>
          <w:szCs w:val="20"/>
          <w:u w:val="none"/>
        </w:rPr>
      </w:pPr>
    </w:p>
    <w:p w:rsidR="005E4CB9" w:rsidRDefault="005E4CB9" w:rsidP="00D7122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Considerando que o Fundo objetiva a valorização dos profissionais de </w:t>
      </w:r>
      <w:proofErr w:type="gramStart"/>
      <w:r>
        <w:rPr>
          <w:rStyle w:val="Hyperlink"/>
          <w:rFonts w:ascii="Arial" w:hAnsi="Arial" w:cs="Arial"/>
          <w:color w:val="000000" w:themeColor="text1"/>
          <w:sz w:val="20"/>
          <w:szCs w:val="20"/>
          <w:u w:val="none"/>
        </w:rPr>
        <w:t>educação  e</w:t>
      </w:r>
      <w:proofErr w:type="gramEnd"/>
      <w:r>
        <w:rPr>
          <w:rStyle w:val="Hyperlink"/>
          <w:rFonts w:ascii="Arial" w:hAnsi="Arial" w:cs="Arial"/>
          <w:color w:val="000000" w:themeColor="text1"/>
          <w:sz w:val="20"/>
          <w:szCs w:val="20"/>
          <w:u w:val="none"/>
        </w:rPr>
        <w:t xml:space="preserve"> que tanto da interpretação da lei do estágio quanto da manifestação  do Ministério da Educação</w:t>
      </w:r>
      <w:r w:rsidR="003852DF">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conclui-se não ser o estagiário profissional, mas sim um aprendiz em desenvolvimento. Assim, não é possível o pagamento a estagiários utilizando dotação orçamentária oriunda do FUNDEB. </w:t>
      </w:r>
    </w:p>
    <w:p w:rsidR="00D7122F" w:rsidRDefault="00D7122F" w:rsidP="00D7122F">
      <w:pPr>
        <w:spacing w:after="0"/>
        <w:jc w:val="both"/>
        <w:rPr>
          <w:rStyle w:val="Hyperlink"/>
          <w:rFonts w:ascii="Arial" w:hAnsi="Arial" w:cs="Arial"/>
          <w:color w:val="000000" w:themeColor="text1"/>
          <w:sz w:val="20"/>
          <w:szCs w:val="20"/>
          <w:u w:val="none"/>
        </w:rPr>
      </w:pPr>
    </w:p>
    <w:p w:rsidR="005E4CB9" w:rsidRDefault="005E4CB9" w:rsidP="00D7122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280117/17 </w:t>
      </w:r>
      <w:r w:rsidR="00052E3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6" w:history="1">
        <w:r w:rsidRPr="00604369">
          <w:rPr>
            <w:rStyle w:val="Hyperlink"/>
            <w:rFonts w:ascii="Arial" w:hAnsi="Arial" w:cs="Arial"/>
            <w:sz w:val="20"/>
            <w:szCs w:val="20"/>
          </w:rPr>
          <w:t>Acórdão nº 4625/17</w:t>
        </w:r>
        <w:r w:rsidR="00C6233C">
          <w:rPr>
            <w:rStyle w:val="Hyperlink"/>
            <w:rFonts w:ascii="Arial" w:hAnsi="Arial" w:cs="Arial"/>
            <w:sz w:val="20"/>
            <w:szCs w:val="20"/>
          </w:rPr>
          <w:t xml:space="preserve"> </w:t>
        </w:r>
        <w:r w:rsidRPr="00604369">
          <w:rPr>
            <w:rStyle w:val="Hyperlink"/>
            <w:rFonts w:ascii="Arial" w:hAnsi="Arial" w:cs="Arial"/>
            <w:sz w:val="20"/>
            <w:szCs w:val="20"/>
          </w:rPr>
          <w:t>- Tribunal Pleno</w:t>
        </w:r>
      </w:hyperlink>
      <w:r w:rsidR="00052E3D">
        <w:rPr>
          <w:rStyle w:val="Hyperlink"/>
          <w:rFonts w:ascii="Arial" w:hAnsi="Arial" w:cs="Arial"/>
          <w:sz w:val="20"/>
          <w:szCs w:val="20"/>
        </w:rPr>
        <w:t>.</w:t>
      </w:r>
      <w:r w:rsidR="00052E3D">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Rel. Conselheiro Fernando Augusto Mello Guimarães. </w:t>
      </w:r>
    </w:p>
    <w:p w:rsidR="005E4CB9" w:rsidRDefault="005E4CB9" w:rsidP="00816942">
      <w:pPr>
        <w:autoSpaceDE w:val="0"/>
        <w:autoSpaceDN w:val="0"/>
        <w:adjustRightInd w:val="0"/>
        <w:spacing w:after="0"/>
        <w:jc w:val="both"/>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816942">
      <w:pPr>
        <w:spacing w:after="0"/>
        <w:rPr>
          <w:rFonts w:ascii="Arial" w:hAnsi="Arial" w:cs="Arial"/>
          <w:b/>
          <w:color w:val="000000"/>
          <w:sz w:val="20"/>
          <w:szCs w:val="20"/>
        </w:rPr>
      </w:pPr>
    </w:p>
    <w:p w:rsidR="0002427B" w:rsidRPr="0022060B" w:rsidRDefault="0002427B" w:rsidP="0002427B">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02427B" w:rsidRDefault="0002427B" w:rsidP="00816942">
      <w:pPr>
        <w:spacing w:after="0"/>
        <w:jc w:val="both"/>
        <w:rPr>
          <w:rFonts w:ascii="Arial" w:hAnsi="Arial" w:cs="Arial"/>
          <w:sz w:val="20"/>
          <w:szCs w:val="20"/>
        </w:rPr>
      </w:pPr>
    </w:p>
    <w:p w:rsidR="003857AF" w:rsidRPr="003B28F1" w:rsidRDefault="00F521CB" w:rsidP="00816942">
      <w:pPr>
        <w:spacing w:after="0"/>
        <w:jc w:val="both"/>
        <w:rPr>
          <w:rFonts w:ascii="Arial" w:hAnsi="Arial" w:cs="Arial"/>
          <w:b/>
          <w:sz w:val="20"/>
          <w:szCs w:val="20"/>
        </w:rPr>
      </w:pPr>
      <w:hyperlink r:id="rId17" w:history="1">
        <w:proofErr w:type="spellStart"/>
        <w:r w:rsidR="003857AF" w:rsidRPr="003B28F1">
          <w:rPr>
            <w:rStyle w:val="Hyperlink"/>
            <w:rFonts w:ascii="Arial" w:hAnsi="Arial" w:cs="Arial"/>
            <w:b/>
            <w:sz w:val="20"/>
            <w:szCs w:val="20"/>
            <w:shd w:val="clear" w:color="auto" w:fill="FFFFFF"/>
          </w:rPr>
          <w:t>Rcl</w:t>
        </w:r>
        <w:proofErr w:type="spellEnd"/>
        <w:r w:rsidR="003857AF" w:rsidRPr="003B28F1">
          <w:rPr>
            <w:rStyle w:val="Hyperlink"/>
            <w:rFonts w:ascii="Arial" w:hAnsi="Arial" w:cs="Arial"/>
            <w:b/>
            <w:sz w:val="20"/>
            <w:szCs w:val="20"/>
            <w:shd w:val="clear" w:color="auto" w:fill="FFFFFF"/>
          </w:rPr>
          <w:t xml:space="preserve"> 24965 </w:t>
        </w:r>
        <w:proofErr w:type="spellStart"/>
        <w:r w:rsidR="003857AF" w:rsidRPr="003B28F1">
          <w:rPr>
            <w:rStyle w:val="Hyperlink"/>
            <w:rFonts w:ascii="Arial" w:hAnsi="Arial" w:cs="Arial"/>
            <w:b/>
            <w:sz w:val="20"/>
            <w:szCs w:val="20"/>
            <w:shd w:val="clear" w:color="auto" w:fill="FFFFFF"/>
          </w:rPr>
          <w:t>AgR</w:t>
        </w:r>
        <w:proofErr w:type="spellEnd"/>
        <w:r w:rsidR="003857AF" w:rsidRPr="003B28F1">
          <w:rPr>
            <w:rStyle w:val="Hyperlink"/>
            <w:rFonts w:ascii="Arial" w:hAnsi="Arial" w:cs="Arial"/>
            <w:b/>
            <w:sz w:val="20"/>
            <w:szCs w:val="20"/>
            <w:shd w:val="clear" w:color="auto" w:fill="FFFFFF"/>
          </w:rPr>
          <w:t>/SE, rel. orig. Min. Marco Aurélio, red. p/ o ac. Min. Alexandre de Moraes, julgamento em 28.11.2017. (Rcl-24965)</w:t>
        </w:r>
      </w:hyperlink>
    </w:p>
    <w:p w:rsidR="00170600" w:rsidRPr="003857AF" w:rsidRDefault="00170600" w:rsidP="00816942">
      <w:pPr>
        <w:spacing w:after="0"/>
        <w:jc w:val="both"/>
        <w:rPr>
          <w:rFonts w:ascii="Arial" w:hAnsi="Arial" w:cs="Arial"/>
          <w:sz w:val="20"/>
          <w:szCs w:val="20"/>
        </w:rPr>
      </w:pPr>
    </w:p>
    <w:p w:rsidR="003857AF" w:rsidRPr="00212EB7" w:rsidRDefault="003857AF" w:rsidP="003857AF">
      <w:pPr>
        <w:shd w:val="clear" w:color="auto" w:fill="FFFFFF"/>
        <w:jc w:val="both"/>
        <w:textAlignment w:val="top"/>
        <w:rPr>
          <w:rFonts w:ascii="Arial" w:hAnsi="Arial" w:cs="Arial"/>
          <w:b/>
          <w:sz w:val="20"/>
          <w:szCs w:val="20"/>
        </w:rPr>
      </w:pPr>
      <w:r w:rsidRPr="00212EB7">
        <w:rPr>
          <w:rFonts w:ascii="Arial" w:hAnsi="Arial" w:cs="Arial"/>
          <w:b/>
          <w:bCs/>
          <w:sz w:val="20"/>
          <w:szCs w:val="20"/>
        </w:rPr>
        <w:t>Súmula Vinculante 37: reajuste de 13,23% e Lei 13.317/2016 - 2</w:t>
      </w:r>
    </w:p>
    <w:p w:rsidR="00C057F2" w:rsidRDefault="003857AF" w:rsidP="006E12D5">
      <w:pPr>
        <w:spacing w:after="0"/>
        <w:jc w:val="both"/>
        <w:rPr>
          <w:rFonts w:ascii="Arial" w:hAnsi="Arial" w:cs="Arial"/>
          <w:sz w:val="20"/>
          <w:szCs w:val="20"/>
          <w:shd w:val="clear" w:color="auto" w:fill="FFFFFF"/>
        </w:rPr>
      </w:pPr>
      <w:r w:rsidRPr="003857AF">
        <w:rPr>
          <w:rFonts w:ascii="Arial" w:hAnsi="Arial" w:cs="Arial"/>
          <w:sz w:val="20"/>
          <w:szCs w:val="20"/>
          <w:shd w:val="clear" w:color="auto" w:fill="FFFFFF"/>
        </w:rPr>
        <w:t>Não cabe ao Poder Judiciário, que não tem função legislativa, aumentar vencimentos de servidores públicos sob o fundamento de isonomia.</w:t>
      </w:r>
    </w:p>
    <w:p w:rsidR="00C057F2" w:rsidRDefault="003857AF" w:rsidP="006E12D5">
      <w:pPr>
        <w:spacing w:after="0"/>
        <w:jc w:val="both"/>
        <w:rPr>
          <w:rFonts w:ascii="Arial" w:hAnsi="Arial" w:cs="Arial"/>
          <w:sz w:val="20"/>
          <w:szCs w:val="20"/>
          <w:shd w:val="clear" w:color="auto" w:fill="FFFFFF"/>
        </w:rPr>
      </w:pPr>
      <w:r w:rsidRPr="003857AF">
        <w:rPr>
          <w:rFonts w:ascii="Arial" w:hAnsi="Arial" w:cs="Arial"/>
          <w:sz w:val="20"/>
          <w:szCs w:val="20"/>
        </w:rPr>
        <w:br/>
      </w:r>
      <w:r w:rsidRPr="003857AF">
        <w:rPr>
          <w:rFonts w:ascii="Arial" w:hAnsi="Arial" w:cs="Arial"/>
          <w:sz w:val="20"/>
          <w:szCs w:val="20"/>
          <w:shd w:val="clear" w:color="auto" w:fill="FFFFFF"/>
        </w:rPr>
        <w:t>Com base nesse entendimento, a Primeira Turma, por maioria, deu provimento a agrav</w:t>
      </w:r>
      <w:r w:rsidR="00C057F2">
        <w:rPr>
          <w:rFonts w:ascii="Arial" w:hAnsi="Arial" w:cs="Arial"/>
          <w:sz w:val="20"/>
          <w:szCs w:val="20"/>
          <w:shd w:val="clear" w:color="auto" w:fill="FFFFFF"/>
        </w:rPr>
        <w:t xml:space="preserve">o regimental em reclamação. </w:t>
      </w:r>
    </w:p>
    <w:p w:rsidR="00C057F2" w:rsidRDefault="00C057F2" w:rsidP="006E12D5">
      <w:pPr>
        <w:spacing w:after="0"/>
        <w:jc w:val="both"/>
        <w:rPr>
          <w:rFonts w:ascii="Arial" w:hAnsi="Arial" w:cs="Arial"/>
          <w:sz w:val="20"/>
          <w:szCs w:val="20"/>
          <w:shd w:val="clear" w:color="auto" w:fill="FFFFFF"/>
        </w:rPr>
      </w:pPr>
    </w:p>
    <w:p w:rsidR="000800D1" w:rsidRDefault="003857AF" w:rsidP="006E12D5">
      <w:pPr>
        <w:spacing w:after="0"/>
        <w:jc w:val="both"/>
        <w:rPr>
          <w:rFonts w:ascii="Arial" w:hAnsi="Arial" w:cs="Arial"/>
          <w:b/>
          <w:color w:val="000000"/>
          <w:sz w:val="20"/>
          <w:szCs w:val="20"/>
        </w:rPr>
      </w:pPr>
      <w:r w:rsidRPr="003857AF">
        <w:rPr>
          <w:rFonts w:ascii="Arial" w:hAnsi="Arial" w:cs="Arial"/>
          <w:sz w:val="20"/>
          <w:szCs w:val="20"/>
          <w:shd w:val="clear" w:color="auto" w:fill="FFFFFF"/>
        </w:rPr>
        <w:t>No caso, a agravante insurgira contra decisão de turma recursal que, ao apreciar o art. 6º da lei 13.317/2016, concluíra pelo direito do servidor do Judiciário Federal ao reajuste de 13,23%.</w:t>
      </w:r>
      <w:r w:rsidRPr="003857AF">
        <w:rPr>
          <w:rFonts w:ascii="Arial" w:hAnsi="Arial" w:cs="Arial"/>
          <w:sz w:val="20"/>
          <w:szCs w:val="20"/>
        </w:rPr>
        <w:br/>
      </w:r>
      <w:r w:rsidRPr="003857AF">
        <w:rPr>
          <w:rFonts w:ascii="Arial" w:hAnsi="Arial" w:cs="Arial"/>
          <w:sz w:val="20"/>
          <w:szCs w:val="20"/>
        </w:rPr>
        <w:br/>
      </w:r>
      <w:r w:rsidRPr="003857AF">
        <w:rPr>
          <w:rFonts w:ascii="Arial" w:hAnsi="Arial" w:cs="Arial"/>
          <w:sz w:val="20"/>
          <w:szCs w:val="20"/>
          <w:shd w:val="clear" w:color="auto" w:fill="FFFFFF"/>
        </w:rPr>
        <w:t>O Colegiado reputou haver ofensa ao Enunciado 37 da Súmula Vinculante. Assentou que a lei posterior nada mais fez do que tentar dar um “</w:t>
      </w:r>
      <w:proofErr w:type="spellStart"/>
      <w:r w:rsidRPr="003B28F1">
        <w:rPr>
          <w:rFonts w:ascii="Arial" w:hAnsi="Arial" w:cs="Arial"/>
          <w:i/>
          <w:sz w:val="20"/>
          <w:szCs w:val="20"/>
          <w:shd w:val="clear" w:color="auto" w:fill="FFFFFF"/>
        </w:rPr>
        <w:t>bypass</w:t>
      </w:r>
      <w:proofErr w:type="spellEnd"/>
      <w:r w:rsidRPr="003857AF">
        <w:rPr>
          <w:rFonts w:ascii="Arial" w:hAnsi="Arial" w:cs="Arial"/>
          <w:sz w:val="20"/>
          <w:szCs w:val="20"/>
          <w:shd w:val="clear" w:color="auto" w:fill="FFFFFF"/>
        </w:rPr>
        <w:t>” em outras leis de 2003.</w:t>
      </w:r>
      <w:r w:rsidRPr="003857AF">
        <w:rPr>
          <w:rFonts w:ascii="Arial" w:hAnsi="Arial" w:cs="Arial"/>
          <w:sz w:val="20"/>
          <w:szCs w:val="20"/>
        </w:rPr>
        <w:br/>
      </w:r>
      <w:r w:rsidRPr="003857AF">
        <w:rPr>
          <w:rFonts w:ascii="Arial" w:hAnsi="Arial" w:cs="Arial"/>
          <w:sz w:val="20"/>
          <w:szCs w:val="20"/>
        </w:rPr>
        <w:br/>
      </w:r>
      <w:r w:rsidR="000800D1" w:rsidRPr="00DB558E">
        <w:rPr>
          <w:rFonts w:ascii="Arial" w:hAnsi="Arial" w:cs="Arial"/>
          <w:b/>
          <w:color w:val="000000"/>
          <w:sz w:val="20"/>
          <w:szCs w:val="20"/>
        </w:rPr>
        <w:t>Tribunal de Contas da União:</w:t>
      </w:r>
    </w:p>
    <w:p w:rsidR="00995F38" w:rsidRDefault="00995F38" w:rsidP="00753AFB">
      <w:pPr>
        <w:widowControl w:val="0"/>
        <w:autoSpaceDE w:val="0"/>
        <w:autoSpaceDN w:val="0"/>
        <w:jc w:val="both"/>
        <w:rPr>
          <w:rFonts w:ascii="Arial" w:hAnsi="Arial"/>
          <w:b/>
          <w:sz w:val="20"/>
          <w:szCs w:val="20"/>
        </w:rPr>
      </w:pPr>
    </w:p>
    <w:p w:rsidR="00AB06BE" w:rsidRPr="009A7920" w:rsidRDefault="00F521CB" w:rsidP="00753AFB">
      <w:pPr>
        <w:widowControl w:val="0"/>
        <w:autoSpaceDE w:val="0"/>
        <w:autoSpaceDN w:val="0"/>
        <w:jc w:val="both"/>
        <w:rPr>
          <w:rFonts w:ascii="Arial" w:hAnsi="Arial" w:cs="Arial"/>
          <w:b/>
          <w:sz w:val="20"/>
          <w:szCs w:val="20"/>
        </w:rPr>
      </w:pPr>
      <w:hyperlink r:id="rId18" w:history="1">
        <w:r w:rsidR="00AB06BE" w:rsidRPr="009D379D">
          <w:rPr>
            <w:rStyle w:val="Hyperlink"/>
            <w:rFonts w:ascii="Arial" w:hAnsi="Arial"/>
            <w:b/>
            <w:sz w:val="20"/>
            <w:szCs w:val="20"/>
          </w:rPr>
          <w:t>Acórdão 2452/2017</w:t>
        </w:r>
        <w:r w:rsidR="00E444A5">
          <w:rPr>
            <w:rStyle w:val="Hyperlink"/>
            <w:rFonts w:ascii="Arial" w:hAnsi="Arial"/>
            <w:b/>
            <w:sz w:val="20"/>
            <w:szCs w:val="20"/>
          </w:rPr>
          <w:t xml:space="preserve"> -</w:t>
        </w:r>
        <w:r w:rsidR="00AB06BE" w:rsidRPr="009D379D">
          <w:rPr>
            <w:rStyle w:val="Hyperlink"/>
            <w:rFonts w:ascii="Arial" w:hAnsi="Arial"/>
            <w:b/>
            <w:sz w:val="20"/>
            <w:szCs w:val="20"/>
          </w:rPr>
          <w:t xml:space="preserve"> Plenário</w:t>
        </w:r>
      </w:hyperlink>
      <w:r w:rsidR="00AB06BE" w:rsidRPr="009A7920">
        <w:rPr>
          <w:rFonts w:ascii="Arial" w:hAnsi="Arial"/>
          <w:b/>
          <w:sz w:val="20"/>
          <w:szCs w:val="20"/>
        </w:rPr>
        <w:t xml:space="preserve"> </w:t>
      </w:r>
      <w:r w:rsidR="00AB06BE" w:rsidRPr="009A7920">
        <w:rPr>
          <w:rFonts w:ascii="Arial" w:hAnsi="Arial"/>
          <w:sz w:val="20"/>
          <w:szCs w:val="20"/>
        </w:rPr>
        <w:t>(Auditoria, Relator Ministro Vital do Rêgo)</w:t>
      </w:r>
    </w:p>
    <w:p w:rsidR="00AB06BE" w:rsidRPr="009D379D" w:rsidRDefault="00AB06BE" w:rsidP="00753AFB">
      <w:pPr>
        <w:jc w:val="both"/>
        <w:rPr>
          <w:rFonts w:ascii="Arial" w:hAnsi="Arial" w:cs="Arial"/>
          <w:b/>
          <w:sz w:val="20"/>
          <w:szCs w:val="20"/>
        </w:rPr>
      </w:pPr>
      <w:r w:rsidRPr="009D379D">
        <w:rPr>
          <w:rFonts w:ascii="Arial" w:hAnsi="Arial"/>
          <w:b/>
          <w:sz w:val="20"/>
          <w:szCs w:val="20"/>
        </w:rPr>
        <w:t>Contrato Administrativo. Superfaturamento. BDI. Referência. Preço de mercado.</w:t>
      </w:r>
    </w:p>
    <w:p w:rsidR="00AB06BE" w:rsidRPr="009A7920" w:rsidRDefault="00AB06BE" w:rsidP="00753AFB">
      <w:pPr>
        <w:pStyle w:val="TCU-Epgrafe"/>
        <w:spacing w:after="200" w:line="276" w:lineRule="auto"/>
        <w:ind w:left="0"/>
        <w:rPr>
          <w:sz w:val="20"/>
        </w:rPr>
      </w:pPr>
      <w:r w:rsidRPr="009A7920">
        <w:rPr>
          <w:rFonts w:ascii="Arial" w:hAnsi="Arial"/>
          <w:sz w:val="20"/>
        </w:rPr>
        <w:t xml:space="preserve">Taxa de BDI com percentual acima do limite referencial não representa, por si só, superfaturamento, desde que o preço contratado, ou seja, custo mais BDI, esteja compatível com o preço de mercado. </w:t>
      </w:r>
    </w:p>
    <w:p w:rsidR="00AC10DC" w:rsidRPr="009A7920" w:rsidRDefault="00F521CB" w:rsidP="00753AFB">
      <w:pPr>
        <w:widowControl w:val="0"/>
        <w:autoSpaceDE w:val="0"/>
        <w:autoSpaceDN w:val="0"/>
        <w:jc w:val="both"/>
        <w:rPr>
          <w:rFonts w:ascii="Arial" w:hAnsi="Arial" w:cs="Arial"/>
          <w:b/>
          <w:sz w:val="20"/>
          <w:szCs w:val="20"/>
        </w:rPr>
      </w:pPr>
      <w:hyperlink r:id="rId19" w:history="1">
        <w:r w:rsidR="00AC10DC" w:rsidRPr="00361B11">
          <w:rPr>
            <w:rStyle w:val="Hyperlink"/>
            <w:rFonts w:ascii="Arial" w:hAnsi="Arial"/>
            <w:b/>
            <w:sz w:val="20"/>
            <w:szCs w:val="20"/>
          </w:rPr>
          <w:t>Acórdão 2457/2017</w:t>
        </w:r>
        <w:r w:rsidR="00361B11" w:rsidRPr="00361B11">
          <w:rPr>
            <w:rStyle w:val="Hyperlink"/>
            <w:rFonts w:ascii="Arial" w:hAnsi="Arial"/>
            <w:b/>
            <w:sz w:val="20"/>
            <w:szCs w:val="20"/>
          </w:rPr>
          <w:t xml:space="preserve"> -</w:t>
        </w:r>
        <w:r w:rsidR="00AC10DC" w:rsidRPr="00361B11">
          <w:rPr>
            <w:rStyle w:val="Hyperlink"/>
            <w:rFonts w:ascii="Arial" w:hAnsi="Arial"/>
            <w:b/>
            <w:sz w:val="20"/>
            <w:szCs w:val="20"/>
          </w:rPr>
          <w:t xml:space="preserve"> Plenário</w:t>
        </w:r>
      </w:hyperlink>
      <w:r w:rsidR="00AC10DC" w:rsidRPr="009A7920">
        <w:rPr>
          <w:rFonts w:ascii="Arial" w:hAnsi="Arial"/>
          <w:b/>
          <w:sz w:val="20"/>
          <w:szCs w:val="20"/>
        </w:rPr>
        <w:t xml:space="preserve"> </w:t>
      </w:r>
      <w:r w:rsidR="00AC10DC" w:rsidRPr="009A7920">
        <w:rPr>
          <w:rFonts w:ascii="Arial" w:hAnsi="Arial"/>
          <w:sz w:val="20"/>
          <w:szCs w:val="20"/>
        </w:rPr>
        <w:t xml:space="preserve">(Pedido de Reexame, Revisor Ministro José </w:t>
      </w:r>
      <w:proofErr w:type="spellStart"/>
      <w:r w:rsidR="00AC10DC" w:rsidRPr="009A7920">
        <w:rPr>
          <w:rFonts w:ascii="Arial" w:hAnsi="Arial"/>
          <w:sz w:val="20"/>
          <w:szCs w:val="20"/>
        </w:rPr>
        <w:t>Múcio</w:t>
      </w:r>
      <w:proofErr w:type="spellEnd"/>
      <w:r w:rsidR="00AC10DC" w:rsidRPr="009A7920">
        <w:rPr>
          <w:rFonts w:ascii="Arial" w:hAnsi="Arial"/>
          <w:sz w:val="20"/>
          <w:szCs w:val="20"/>
        </w:rPr>
        <w:t xml:space="preserve"> Monteiro)</w:t>
      </w:r>
    </w:p>
    <w:p w:rsidR="00AC10DC" w:rsidRPr="00361B11" w:rsidRDefault="00AC10DC" w:rsidP="00753AFB">
      <w:pPr>
        <w:jc w:val="both"/>
        <w:rPr>
          <w:rFonts w:ascii="Arial" w:hAnsi="Arial" w:cs="Arial"/>
          <w:b/>
          <w:sz w:val="20"/>
          <w:szCs w:val="20"/>
        </w:rPr>
      </w:pPr>
      <w:r w:rsidRPr="00361B11">
        <w:rPr>
          <w:rFonts w:ascii="Arial" w:hAnsi="Arial"/>
          <w:b/>
          <w:sz w:val="20"/>
          <w:szCs w:val="20"/>
        </w:rPr>
        <w:t>Responsabilidade. Delegação de competência. Abrangência. Fiscalização. Supervisão.</w:t>
      </w:r>
    </w:p>
    <w:p w:rsidR="00AC10DC" w:rsidRPr="009A7920" w:rsidRDefault="00AC10DC" w:rsidP="00753AFB">
      <w:pPr>
        <w:pStyle w:val="TCU-Epgrafe"/>
        <w:spacing w:after="200" w:line="276" w:lineRule="auto"/>
        <w:ind w:left="0"/>
        <w:rPr>
          <w:sz w:val="20"/>
        </w:rPr>
      </w:pPr>
      <w:r w:rsidRPr="009A7920">
        <w:rPr>
          <w:rFonts w:ascii="Arial" w:hAnsi="Arial"/>
          <w:sz w:val="20"/>
        </w:rPr>
        <w:t>A delegação de competência não implica delegação de responsabilidade, competindo ao gestor delegante a fiscalização dos atos de seus subordinados, especialmente em situações nas quais, pela importância do objeto e pela materialidade dos recursos envolvidos, a necessidade de supervisão não pode ser subestimada.</w:t>
      </w:r>
    </w:p>
    <w:p w:rsidR="00CA41C2" w:rsidRPr="009A7920" w:rsidRDefault="00F521CB" w:rsidP="00753AFB">
      <w:pPr>
        <w:widowControl w:val="0"/>
        <w:autoSpaceDE w:val="0"/>
        <w:autoSpaceDN w:val="0"/>
        <w:jc w:val="both"/>
        <w:rPr>
          <w:rFonts w:ascii="Arial" w:hAnsi="Arial" w:cs="Arial"/>
          <w:b/>
          <w:sz w:val="20"/>
          <w:szCs w:val="20"/>
        </w:rPr>
      </w:pPr>
      <w:hyperlink r:id="rId20" w:history="1">
        <w:r w:rsidR="00CA41C2" w:rsidRPr="000530C0">
          <w:rPr>
            <w:rStyle w:val="Hyperlink"/>
            <w:rFonts w:ascii="Arial" w:hAnsi="Arial"/>
            <w:b/>
            <w:sz w:val="20"/>
            <w:szCs w:val="20"/>
          </w:rPr>
          <w:t>Acórdão 2458/2017</w:t>
        </w:r>
        <w:r w:rsidR="000530C0" w:rsidRPr="000530C0">
          <w:rPr>
            <w:rStyle w:val="Hyperlink"/>
            <w:rFonts w:ascii="Arial" w:hAnsi="Arial"/>
            <w:b/>
            <w:sz w:val="20"/>
            <w:szCs w:val="20"/>
          </w:rPr>
          <w:t xml:space="preserve"> - </w:t>
        </w:r>
        <w:r w:rsidR="00CA41C2" w:rsidRPr="000530C0">
          <w:rPr>
            <w:rStyle w:val="Hyperlink"/>
            <w:rFonts w:ascii="Arial" w:hAnsi="Arial"/>
            <w:b/>
            <w:sz w:val="20"/>
            <w:szCs w:val="20"/>
          </w:rPr>
          <w:t>Plenário</w:t>
        </w:r>
      </w:hyperlink>
      <w:r w:rsidR="00CA41C2" w:rsidRPr="009A7920">
        <w:rPr>
          <w:rFonts w:ascii="Arial" w:hAnsi="Arial"/>
          <w:b/>
          <w:sz w:val="20"/>
          <w:szCs w:val="20"/>
        </w:rPr>
        <w:t xml:space="preserve"> </w:t>
      </w:r>
      <w:r w:rsidR="00CA41C2" w:rsidRPr="009A7920">
        <w:rPr>
          <w:rFonts w:ascii="Arial" w:hAnsi="Arial"/>
          <w:sz w:val="20"/>
          <w:szCs w:val="20"/>
        </w:rPr>
        <w:t>(Recurso de Revisão, Relator Ministro Vital do Rêgo)</w:t>
      </w:r>
    </w:p>
    <w:p w:rsidR="00CA41C2" w:rsidRPr="000530C0" w:rsidRDefault="00CA41C2" w:rsidP="00753AFB">
      <w:pPr>
        <w:jc w:val="both"/>
        <w:rPr>
          <w:rFonts w:ascii="Arial" w:hAnsi="Arial" w:cs="Arial"/>
          <w:b/>
          <w:sz w:val="20"/>
          <w:szCs w:val="20"/>
        </w:rPr>
      </w:pPr>
      <w:proofErr w:type="gramStart"/>
      <w:r w:rsidRPr="000530C0">
        <w:rPr>
          <w:rFonts w:ascii="Arial" w:hAnsi="Arial"/>
          <w:b/>
          <w:sz w:val="20"/>
          <w:szCs w:val="20"/>
        </w:rPr>
        <w:t>Direito Processual</w:t>
      </w:r>
      <w:proofErr w:type="gramEnd"/>
      <w:r w:rsidRPr="000530C0">
        <w:rPr>
          <w:rFonts w:ascii="Arial" w:hAnsi="Arial"/>
          <w:b/>
          <w:sz w:val="20"/>
          <w:szCs w:val="20"/>
        </w:rPr>
        <w:t>. Recurso de revisão. Documento novo. Ação judicial. Repercussão geral.</w:t>
      </w:r>
    </w:p>
    <w:p w:rsidR="00CA41C2" w:rsidRPr="009A7920" w:rsidRDefault="00CA41C2" w:rsidP="00753AFB">
      <w:pPr>
        <w:jc w:val="both"/>
        <w:rPr>
          <w:sz w:val="20"/>
          <w:szCs w:val="20"/>
          <w:lang w:eastAsia="pt-BR"/>
        </w:rPr>
      </w:pPr>
      <w:r w:rsidRPr="009A7920">
        <w:rPr>
          <w:rFonts w:ascii="Arial" w:hAnsi="Arial"/>
          <w:sz w:val="20"/>
          <w:szCs w:val="20"/>
          <w:lang w:eastAsia="pt-BR"/>
        </w:rPr>
        <w:lastRenderedPageBreak/>
        <w:t xml:space="preserve">Não constitui elemento novo apto a ensejar o conhecimento de recurso de revisão a existência de demanda judicial em andamento no STF, com repercussão geral reconhecida, que discute a </w:t>
      </w:r>
      <w:proofErr w:type="spellStart"/>
      <w:r w:rsidRPr="009A7920">
        <w:rPr>
          <w:rFonts w:ascii="Arial" w:hAnsi="Arial"/>
          <w:sz w:val="20"/>
          <w:szCs w:val="20"/>
          <w:lang w:eastAsia="pt-BR"/>
        </w:rPr>
        <w:t>prescritibilidade</w:t>
      </w:r>
      <w:proofErr w:type="spellEnd"/>
      <w:r w:rsidRPr="009A7920">
        <w:rPr>
          <w:rFonts w:ascii="Arial" w:hAnsi="Arial"/>
          <w:sz w:val="20"/>
          <w:szCs w:val="20"/>
          <w:lang w:eastAsia="pt-BR"/>
        </w:rPr>
        <w:t xml:space="preserve"> das ações de ressarcimento ao erário originadas de acórdãos dos tribunais de contas.</w:t>
      </w:r>
    </w:p>
    <w:p w:rsidR="00643303" w:rsidRPr="009A7920" w:rsidRDefault="00F521CB" w:rsidP="00753AFB">
      <w:pPr>
        <w:widowControl w:val="0"/>
        <w:autoSpaceDE w:val="0"/>
        <w:autoSpaceDN w:val="0"/>
        <w:jc w:val="both"/>
        <w:rPr>
          <w:rFonts w:ascii="Arial" w:hAnsi="Arial" w:cs="Arial"/>
          <w:b/>
          <w:sz w:val="20"/>
          <w:szCs w:val="20"/>
        </w:rPr>
      </w:pPr>
      <w:hyperlink r:id="rId21" w:history="1">
        <w:r w:rsidR="00643303" w:rsidRPr="008B7C56">
          <w:rPr>
            <w:rStyle w:val="Hyperlink"/>
            <w:rFonts w:ascii="Arial" w:hAnsi="Arial"/>
            <w:b/>
            <w:sz w:val="20"/>
            <w:szCs w:val="20"/>
          </w:rPr>
          <w:t>Acórdão 2464/2017</w:t>
        </w:r>
        <w:r w:rsidR="008B7C56" w:rsidRPr="008B7C56">
          <w:rPr>
            <w:rStyle w:val="Hyperlink"/>
            <w:rFonts w:ascii="Arial" w:hAnsi="Arial"/>
            <w:b/>
            <w:sz w:val="20"/>
            <w:szCs w:val="20"/>
          </w:rPr>
          <w:t xml:space="preserve"> -</w:t>
        </w:r>
        <w:r w:rsidR="00643303" w:rsidRPr="008B7C56">
          <w:rPr>
            <w:rStyle w:val="Hyperlink"/>
            <w:rFonts w:ascii="Arial" w:hAnsi="Arial"/>
            <w:b/>
            <w:sz w:val="20"/>
            <w:szCs w:val="20"/>
          </w:rPr>
          <w:t xml:space="preserve"> Plenário</w:t>
        </w:r>
      </w:hyperlink>
      <w:r w:rsidR="00643303" w:rsidRPr="009A7920">
        <w:rPr>
          <w:rFonts w:ascii="Arial" w:hAnsi="Arial"/>
          <w:b/>
          <w:sz w:val="20"/>
          <w:szCs w:val="20"/>
        </w:rPr>
        <w:t xml:space="preserve"> </w:t>
      </w:r>
      <w:r w:rsidR="00643303" w:rsidRPr="009A7920">
        <w:rPr>
          <w:rFonts w:ascii="Arial" w:hAnsi="Arial"/>
          <w:sz w:val="20"/>
          <w:szCs w:val="20"/>
        </w:rPr>
        <w:t xml:space="preserve">(Agravo, Relator Ministro José </w:t>
      </w:r>
      <w:proofErr w:type="spellStart"/>
      <w:r w:rsidR="00643303" w:rsidRPr="009A7920">
        <w:rPr>
          <w:rFonts w:ascii="Arial" w:hAnsi="Arial"/>
          <w:sz w:val="20"/>
          <w:szCs w:val="20"/>
        </w:rPr>
        <w:t>Múcio</w:t>
      </w:r>
      <w:proofErr w:type="spellEnd"/>
      <w:r w:rsidR="00643303" w:rsidRPr="009A7920">
        <w:rPr>
          <w:rFonts w:ascii="Arial" w:hAnsi="Arial"/>
          <w:sz w:val="20"/>
          <w:szCs w:val="20"/>
        </w:rPr>
        <w:t xml:space="preserve"> Monteiro)</w:t>
      </w:r>
    </w:p>
    <w:p w:rsidR="00643303" w:rsidRPr="001F7FB0" w:rsidRDefault="00643303" w:rsidP="00753AFB">
      <w:pPr>
        <w:jc w:val="both"/>
        <w:rPr>
          <w:rFonts w:ascii="Arial" w:hAnsi="Arial" w:cs="Arial"/>
          <w:b/>
          <w:sz w:val="20"/>
          <w:szCs w:val="20"/>
        </w:rPr>
      </w:pPr>
      <w:r w:rsidRPr="001F7FB0">
        <w:rPr>
          <w:rFonts w:ascii="Arial" w:hAnsi="Arial"/>
          <w:b/>
          <w:sz w:val="20"/>
          <w:szCs w:val="20"/>
        </w:rPr>
        <w:t>Licitação. Terceirização. Serviços advocatícios. Honorários advocatícios. Rateio.</w:t>
      </w:r>
    </w:p>
    <w:p w:rsidR="00643303" w:rsidRPr="009A7920" w:rsidRDefault="00643303" w:rsidP="00753AFB">
      <w:pPr>
        <w:jc w:val="both"/>
        <w:rPr>
          <w:sz w:val="20"/>
          <w:szCs w:val="20"/>
          <w:lang w:eastAsia="pt-BR"/>
        </w:rPr>
      </w:pPr>
      <w:r w:rsidRPr="009A7920">
        <w:rPr>
          <w:rFonts w:ascii="Arial" w:hAnsi="Arial"/>
          <w:sz w:val="20"/>
          <w:szCs w:val="20"/>
          <w:shd w:val="clear" w:color="auto" w:fill="FFFFFF"/>
          <w:lang w:eastAsia="pt-BR"/>
        </w:rPr>
        <w:t xml:space="preserve">Em procedimentos licitatórios para contratação de sociedades de advogados, é </w:t>
      </w:r>
      <w:proofErr w:type="gramStart"/>
      <w:r w:rsidRPr="009A7920">
        <w:rPr>
          <w:rFonts w:ascii="Arial" w:hAnsi="Arial"/>
          <w:sz w:val="20"/>
          <w:szCs w:val="20"/>
          <w:shd w:val="clear" w:color="auto" w:fill="FFFFFF"/>
          <w:lang w:eastAsia="pt-BR"/>
        </w:rPr>
        <w:t>ilegítima</w:t>
      </w:r>
      <w:proofErr w:type="gramEnd"/>
      <w:r w:rsidRPr="009A7920">
        <w:rPr>
          <w:rFonts w:ascii="Arial" w:hAnsi="Arial"/>
          <w:sz w:val="20"/>
          <w:szCs w:val="20"/>
          <w:shd w:val="clear" w:color="auto" w:fill="FFFFFF"/>
          <w:lang w:eastAsia="pt-BR"/>
        </w:rPr>
        <w:t xml:space="preserve"> a previsão em edital de rateio dos honorários advocatícios entre as futuras prestadoras de serviços e a associação de advogados do quadro permanente da entidade contratante, uma vez que o contrato deve reger apenas a relação entre contratado e contratante, jamais criar direitos para os empregados da instituição promotora da licitação.</w:t>
      </w:r>
    </w:p>
    <w:p w:rsidR="002E4F60" w:rsidRPr="009A7920" w:rsidRDefault="00F521CB" w:rsidP="00753AFB">
      <w:pPr>
        <w:widowControl w:val="0"/>
        <w:autoSpaceDE w:val="0"/>
        <w:autoSpaceDN w:val="0"/>
        <w:jc w:val="both"/>
        <w:rPr>
          <w:rFonts w:ascii="Arial" w:hAnsi="Arial" w:cs="Arial"/>
          <w:b/>
          <w:sz w:val="20"/>
          <w:szCs w:val="20"/>
        </w:rPr>
      </w:pPr>
      <w:hyperlink r:id="rId22" w:history="1">
        <w:r w:rsidR="002E4F60" w:rsidRPr="008A49F8">
          <w:rPr>
            <w:rStyle w:val="Hyperlink"/>
            <w:rFonts w:ascii="Arial" w:hAnsi="Arial"/>
            <w:b/>
            <w:sz w:val="20"/>
            <w:szCs w:val="20"/>
          </w:rPr>
          <w:t>Acórdão 2467/2017</w:t>
        </w:r>
        <w:r w:rsidR="008A49F8">
          <w:rPr>
            <w:rStyle w:val="Hyperlink"/>
            <w:rFonts w:ascii="Arial" w:hAnsi="Arial"/>
            <w:b/>
            <w:sz w:val="20"/>
            <w:szCs w:val="20"/>
          </w:rPr>
          <w:t xml:space="preserve"> -</w:t>
        </w:r>
        <w:r w:rsidR="002E4F60" w:rsidRPr="008A49F8">
          <w:rPr>
            <w:rStyle w:val="Hyperlink"/>
            <w:rFonts w:ascii="Arial" w:hAnsi="Arial"/>
            <w:b/>
            <w:sz w:val="20"/>
            <w:szCs w:val="20"/>
          </w:rPr>
          <w:t xml:space="preserve"> Plenário</w:t>
        </w:r>
      </w:hyperlink>
      <w:r w:rsidR="002E4F60" w:rsidRPr="009A7920">
        <w:rPr>
          <w:rFonts w:ascii="Arial" w:hAnsi="Arial"/>
          <w:b/>
          <w:sz w:val="20"/>
          <w:szCs w:val="20"/>
        </w:rPr>
        <w:t xml:space="preserve"> </w:t>
      </w:r>
      <w:r w:rsidR="002E4F60" w:rsidRPr="009A7920">
        <w:rPr>
          <w:rFonts w:ascii="Arial" w:hAnsi="Arial"/>
          <w:sz w:val="20"/>
          <w:szCs w:val="20"/>
        </w:rPr>
        <w:t xml:space="preserve">(Auditoria, Relator Ministro José </w:t>
      </w:r>
      <w:proofErr w:type="spellStart"/>
      <w:r w:rsidR="002E4F60" w:rsidRPr="009A7920">
        <w:rPr>
          <w:rFonts w:ascii="Arial" w:hAnsi="Arial"/>
          <w:sz w:val="20"/>
          <w:szCs w:val="20"/>
        </w:rPr>
        <w:t>Múcio</w:t>
      </w:r>
      <w:proofErr w:type="spellEnd"/>
      <w:r w:rsidR="002E4F60" w:rsidRPr="009A7920">
        <w:rPr>
          <w:rFonts w:ascii="Arial" w:hAnsi="Arial"/>
          <w:sz w:val="20"/>
          <w:szCs w:val="20"/>
        </w:rPr>
        <w:t xml:space="preserve"> Monteiro)</w:t>
      </w:r>
    </w:p>
    <w:p w:rsidR="002E4F60" w:rsidRPr="001F7FB0" w:rsidRDefault="002E4F60" w:rsidP="00753AFB">
      <w:pPr>
        <w:jc w:val="both"/>
        <w:rPr>
          <w:rFonts w:ascii="Arial" w:hAnsi="Arial" w:cs="Arial"/>
          <w:b/>
          <w:sz w:val="20"/>
          <w:szCs w:val="20"/>
        </w:rPr>
      </w:pPr>
      <w:r w:rsidRPr="001F7FB0">
        <w:rPr>
          <w:rFonts w:ascii="Arial" w:hAnsi="Arial"/>
          <w:b/>
          <w:sz w:val="20"/>
          <w:szCs w:val="20"/>
        </w:rPr>
        <w:t>Contrato Administrativo. Garantia contratual. Exigência. Banco Central do Brasil. Autorização. Fiança bancária.</w:t>
      </w:r>
    </w:p>
    <w:p w:rsidR="002E4F60" w:rsidRPr="009A7920" w:rsidRDefault="002E4F60" w:rsidP="00753AFB">
      <w:pPr>
        <w:pStyle w:val="TCU-Epgrafe"/>
        <w:spacing w:after="200" w:line="276" w:lineRule="auto"/>
        <w:ind w:left="0"/>
        <w:rPr>
          <w:sz w:val="20"/>
        </w:rPr>
      </w:pPr>
      <w:r w:rsidRPr="009A7920">
        <w:rPr>
          <w:rFonts w:ascii="Arial" w:hAnsi="Arial"/>
          <w:sz w:val="20"/>
        </w:rPr>
        <w:t xml:space="preserve">É irregular a prestação de garantia contratual na modalidade fiança bancária, prevista no art. 56, § 1º, inciso III, da </w:t>
      </w:r>
      <w:hyperlink r:id="rId23" w:history="1">
        <w:r w:rsidRPr="009A7920">
          <w:rPr>
            <w:rStyle w:val="Hyperlink"/>
            <w:rFonts w:ascii="Arial" w:hAnsi="Arial"/>
            <w:color w:val="0000FF" w:themeColor="hyperlink"/>
            <w:sz w:val="20"/>
          </w:rPr>
          <w:t>Lei 8.666/1993</w:t>
        </w:r>
      </w:hyperlink>
      <w:r w:rsidRPr="009A7920">
        <w:rPr>
          <w:rFonts w:ascii="Arial" w:hAnsi="Arial"/>
          <w:sz w:val="20"/>
        </w:rPr>
        <w:t>, emitida por empresa que não seja instituição financeira autorizada a operar pelo Banco Central do Brasil.</w:t>
      </w:r>
    </w:p>
    <w:p w:rsidR="00CF458A" w:rsidRPr="009A7920" w:rsidRDefault="00F521CB" w:rsidP="00753AFB">
      <w:pPr>
        <w:widowControl w:val="0"/>
        <w:autoSpaceDE w:val="0"/>
        <w:autoSpaceDN w:val="0"/>
        <w:jc w:val="both"/>
        <w:rPr>
          <w:rFonts w:ascii="Arial" w:hAnsi="Arial" w:cs="Arial"/>
          <w:b/>
          <w:sz w:val="20"/>
          <w:szCs w:val="20"/>
        </w:rPr>
      </w:pPr>
      <w:hyperlink r:id="rId24" w:history="1">
        <w:r w:rsidR="00CF458A" w:rsidRPr="00AC7FB3">
          <w:rPr>
            <w:rStyle w:val="Hyperlink"/>
            <w:rFonts w:ascii="Arial" w:hAnsi="Arial"/>
            <w:b/>
            <w:sz w:val="20"/>
            <w:szCs w:val="20"/>
          </w:rPr>
          <w:t>Acórdão 9609/2017</w:t>
        </w:r>
        <w:r w:rsidR="00AC7FB3" w:rsidRPr="00AC7FB3">
          <w:rPr>
            <w:rStyle w:val="Hyperlink"/>
            <w:rFonts w:ascii="Arial" w:hAnsi="Arial"/>
            <w:b/>
            <w:sz w:val="20"/>
            <w:szCs w:val="20"/>
          </w:rPr>
          <w:t xml:space="preserve"> -</w:t>
        </w:r>
        <w:r w:rsidR="00CF458A" w:rsidRPr="00AC7FB3">
          <w:rPr>
            <w:rStyle w:val="Hyperlink"/>
            <w:rFonts w:ascii="Arial" w:hAnsi="Arial"/>
            <w:b/>
            <w:sz w:val="20"/>
            <w:szCs w:val="20"/>
          </w:rPr>
          <w:t xml:space="preserve"> Segunda Câmara</w:t>
        </w:r>
      </w:hyperlink>
      <w:r w:rsidR="00CF458A" w:rsidRPr="009A7920">
        <w:rPr>
          <w:rFonts w:ascii="Arial" w:hAnsi="Arial"/>
          <w:b/>
          <w:sz w:val="20"/>
          <w:szCs w:val="20"/>
        </w:rPr>
        <w:t xml:space="preserve"> </w:t>
      </w:r>
      <w:r w:rsidR="00CF458A" w:rsidRPr="009A7920">
        <w:rPr>
          <w:rFonts w:ascii="Arial" w:hAnsi="Arial"/>
          <w:sz w:val="20"/>
          <w:szCs w:val="20"/>
        </w:rPr>
        <w:t>(Representação, Relator Ministro-Substituto André de Carvalho)</w:t>
      </w:r>
    </w:p>
    <w:p w:rsidR="00CF458A" w:rsidRPr="001F7FB0" w:rsidRDefault="00CF458A" w:rsidP="00753AFB">
      <w:pPr>
        <w:jc w:val="both"/>
        <w:rPr>
          <w:rFonts w:ascii="Arial" w:hAnsi="Arial" w:cs="Arial"/>
          <w:b/>
          <w:sz w:val="20"/>
          <w:szCs w:val="20"/>
        </w:rPr>
      </w:pPr>
      <w:r w:rsidRPr="001F7FB0">
        <w:rPr>
          <w:rFonts w:ascii="Arial" w:hAnsi="Arial"/>
          <w:b/>
          <w:sz w:val="20"/>
          <w:szCs w:val="20"/>
        </w:rPr>
        <w:t>Licitação. Projeto básico. Autor. Projeto executivo. Vedação.</w:t>
      </w:r>
    </w:p>
    <w:p w:rsidR="00CF458A" w:rsidRPr="009A7920" w:rsidRDefault="00CF458A" w:rsidP="00753AFB">
      <w:pPr>
        <w:jc w:val="both"/>
        <w:rPr>
          <w:sz w:val="20"/>
          <w:szCs w:val="20"/>
        </w:rPr>
      </w:pPr>
      <w:r w:rsidRPr="009A7920">
        <w:rPr>
          <w:rFonts w:ascii="Arial" w:hAnsi="Arial"/>
          <w:sz w:val="20"/>
          <w:szCs w:val="20"/>
        </w:rPr>
        <w:t xml:space="preserve">Não há vedação à participação do autor do projeto básico em certame licitatório para a elaboração do projeto executivo ou para a assessoria técnica dos projetos durante a construção da obra. A proibição incide sobre a participação do autor do projeto básico ou executivo na licitação para a contratação da obra, serviço ou fornecimento deles decorrentes, nos termos do art. 9º, inciso I, da </w:t>
      </w:r>
      <w:hyperlink r:id="rId25" w:tgtFrame="_blank" w:history="1">
        <w:r w:rsidRPr="009A7920">
          <w:rPr>
            <w:rStyle w:val="Hyperlink"/>
            <w:rFonts w:ascii="Arial" w:hAnsi="Arial"/>
            <w:color w:val="0000FF" w:themeColor="hyperlink"/>
            <w:sz w:val="20"/>
            <w:szCs w:val="20"/>
          </w:rPr>
          <w:t>Lei 8.666/1993</w:t>
        </w:r>
      </w:hyperlink>
      <w:r w:rsidRPr="009A7920">
        <w:rPr>
          <w:rFonts w:ascii="Arial" w:hAnsi="Arial"/>
          <w:sz w:val="20"/>
          <w:szCs w:val="20"/>
        </w:rPr>
        <w:t>.</w:t>
      </w:r>
    </w:p>
    <w:p w:rsidR="00DB558E" w:rsidRDefault="00DB558E" w:rsidP="00DB558E">
      <w:pPr>
        <w:pStyle w:val="Default"/>
        <w:spacing w:after="200" w:line="276" w:lineRule="auto"/>
        <w:jc w:val="both"/>
        <w:rPr>
          <w:b/>
          <w:sz w:val="20"/>
          <w:szCs w:val="20"/>
        </w:rPr>
      </w:pPr>
      <w:r>
        <w:rPr>
          <w:b/>
          <w:sz w:val="20"/>
          <w:szCs w:val="20"/>
        </w:rPr>
        <w:t xml:space="preserve">Acesse também: </w:t>
      </w:r>
    </w:p>
    <w:p w:rsidR="00270E2F" w:rsidRPr="00BC4C07" w:rsidRDefault="00F521CB" w:rsidP="00270E2F">
      <w:pPr>
        <w:pStyle w:val="Default"/>
        <w:spacing w:line="276" w:lineRule="auto"/>
        <w:jc w:val="center"/>
        <w:rPr>
          <w:b/>
          <w:sz w:val="20"/>
          <w:szCs w:val="20"/>
        </w:rPr>
      </w:pPr>
      <w:hyperlink r:id="rId26"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F521CB" w:rsidP="00270E2F">
      <w:pPr>
        <w:pStyle w:val="Default"/>
        <w:spacing w:line="276" w:lineRule="auto"/>
        <w:jc w:val="center"/>
        <w:rPr>
          <w:rStyle w:val="Hyperlink"/>
          <w:b/>
          <w:sz w:val="20"/>
          <w:szCs w:val="20"/>
        </w:rPr>
      </w:pPr>
      <w:hyperlink r:id="rId27" w:history="1">
        <w:r w:rsidR="00270E2F">
          <w:rPr>
            <w:rStyle w:val="Hyperlink"/>
            <w:b/>
            <w:sz w:val="20"/>
            <w:szCs w:val="20"/>
          </w:rPr>
          <w:t>Repercussão Geral do Supremo Tribunal Federal - STF e os Tribunais de Contas</w:t>
        </w:r>
      </w:hyperlink>
    </w:p>
    <w:p w:rsidR="00270E2F" w:rsidRPr="003D0B6A" w:rsidRDefault="00270E2F" w:rsidP="00270E2F">
      <w:pPr>
        <w:pStyle w:val="Default"/>
        <w:spacing w:line="276" w:lineRule="auto"/>
        <w:jc w:val="center"/>
        <w:rPr>
          <w:rStyle w:val="Hyperlink"/>
          <w:b/>
          <w:sz w:val="20"/>
          <w:szCs w:val="20"/>
        </w:rPr>
      </w:pPr>
    </w:p>
    <w:bookmarkStart w:id="1" w:name="_Hlk503788041"/>
    <w:p w:rsidR="00270E2F" w:rsidRPr="00D71F81" w:rsidRDefault="00D71F81" w:rsidP="00270E2F">
      <w:pPr>
        <w:pStyle w:val="Default"/>
        <w:spacing w:line="276" w:lineRule="auto"/>
        <w:jc w:val="center"/>
        <w:rPr>
          <w:rStyle w:val="Hyperlink"/>
          <w:b/>
          <w:sz w:val="20"/>
          <w:szCs w:val="20"/>
        </w:rPr>
      </w:pPr>
      <w:r w:rsidRPr="00D71F81">
        <w:rPr>
          <w:b/>
          <w:sz w:val="20"/>
          <w:szCs w:val="20"/>
          <w:u w:val="single"/>
        </w:rPr>
        <w:fldChar w:fldCharType="begin"/>
      </w:r>
      <w:r w:rsidRPr="00D71F81">
        <w:rPr>
          <w:b/>
          <w:sz w:val="20"/>
          <w:szCs w:val="20"/>
          <w:u w:val="single"/>
        </w:rPr>
        <w:instrText xml:space="preserve"> HYPERLINK "http://www1.tce.pr.gov.br/conteudo/revista-digital-do-tce-pr/234678/area/46" </w:instrText>
      </w:r>
      <w:r w:rsidRPr="00D71F81">
        <w:rPr>
          <w:b/>
          <w:sz w:val="20"/>
          <w:szCs w:val="20"/>
          <w:u w:val="single"/>
        </w:rPr>
        <w:fldChar w:fldCharType="separate"/>
      </w:r>
      <w:r w:rsidR="00270E2F" w:rsidRPr="00D71F81">
        <w:rPr>
          <w:rStyle w:val="Hyperlink"/>
          <w:b/>
          <w:sz w:val="20"/>
          <w:szCs w:val="20"/>
        </w:rPr>
        <w:t>Revista Digital do Tribunal de Contas do Estado do Paraná - Edição n° 1</w:t>
      </w:r>
      <w:r w:rsidR="002E4B93" w:rsidRPr="00D71F81">
        <w:rPr>
          <w:rStyle w:val="Hyperlink"/>
          <w:b/>
          <w:sz w:val="20"/>
          <w:szCs w:val="20"/>
        </w:rPr>
        <w:t>9</w:t>
      </w:r>
      <w:r w:rsidRPr="00D71F81">
        <w:rPr>
          <w:b/>
          <w:sz w:val="20"/>
          <w:szCs w:val="20"/>
          <w:u w:val="single"/>
        </w:rPr>
        <w:fldChar w:fldCharType="end"/>
      </w:r>
    </w:p>
    <w:bookmarkEnd w:id="1"/>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7122F">
      <w:pPr>
        <w:spacing w:after="0"/>
        <w:jc w:val="center"/>
        <w:rPr>
          <w:rFonts w:ascii="Arial" w:hAnsi="Arial" w:cs="Arial"/>
          <w:b/>
          <w:sz w:val="20"/>
          <w:szCs w:val="20"/>
        </w:rPr>
      </w:pPr>
      <w:r>
        <w:rPr>
          <w:rStyle w:val="Hyperlink"/>
          <w:rFonts w:ascii="Arial" w:hAnsi="Arial" w:cs="Arial"/>
          <w:i/>
          <w:color w:val="000000" w:themeColor="text1"/>
          <w:sz w:val="20"/>
          <w:szCs w:val="20"/>
          <w:u w:val="none"/>
        </w:rPr>
        <w:lastRenderedPageBreak/>
        <w:t>Elaboração: Escola de Gestão Pública - Jurisprudência</w:t>
      </w: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F521CB">
      <w:rPr>
        <w:noProof/>
        <w:sz w:val="16"/>
        <w:szCs w:val="16"/>
      </w:rPr>
      <w:t>8</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5F7109"/>
    <w:multiLevelType w:val="hybridMultilevel"/>
    <w:tmpl w:val="01903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2"/>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427B"/>
    <w:rsid w:val="00025971"/>
    <w:rsid w:val="000262AD"/>
    <w:rsid w:val="00027A03"/>
    <w:rsid w:val="00027FAB"/>
    <w:rsid w:val="000300F4"/>
    <w:rsid w:val="000303F2"/>
    <w:rsid w:val="00032A26"/>
    <w:rsid w:val="00033E69"/>
    <w:rsid w:val="00040EBA"/>
    <w:rsid w:val="00042502"/>
    <w:rsid w:val="00042DF3"/>
    <w:rsid w:val="000433EC"/>
    <w:rsid w:val="000439FD"/>
    <w:rsid w:val="00045700"/>
    <w:rsid w:val="00046191"/>
    <w:rsid w:val="00046E21"/>
    <w:rsid w:val="00047EF1"/>
    <w:rsid w:val="00052862"/>
    <w:rsid w:val="00052E3D"/>
    <w:rsid w:val="000530C0"/>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00BA"/>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0C90"/>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600"/>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F7A25"/>
    <w:rsid w:val="001F7FB0"/>
    <w:rsid w:val="002013D1"/>
    <w:rsid w:val="0020195B"/>
    <w:rsid w:val="00202E6D"/>
    <w:rsid w:val="00202F4B"/>
    <w:rsid w:val="002036C8"/>
    <w:rsid w:val="002100EE"/>
    <w:rsid w:val="00211A49"/>
    <w:rsid w:val="00212EB7"/>
    <w:rsid w:val="00213BD0"/>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8EF"/>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3A61"/>
    <w:rsid w:val="00286EB4"/>
    <w:rsid w:val="002874A2"/>
    <w:rsid w:val="002921E2"/>
    <w:rsid w:val="0029566D"/>
    <w:rsid w:val="00295F4B"/>
    <w:rsid w:val="002A00AC"/>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4B93"/>
    <w:rsid w:val="002E4F60"/>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48F1"/>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B11"/>
    <w:rsid w:val="00361DA5"/>
    <w:rsid w:val="00361F1D"/>
    <w:rsid w:val="00364392"/>
    <w:rsid w:val="00365E61"/>
    <w:rsid w:val="00365EFF"/>
    <w:rsid w:val="00365F51"/>
    <w:rsid w:val="00375692"/>
    <w:rsid w:val="00375DB6"/>
    <w:rsid w:val="0038012F"/>
    <w:rsid w:val="00380BAB"/>
    <w:rsid w:val="00381A0E"/>
    <w:rsid w:val="003852DF"/>
    <w:rsid w:val="003857AF"/>
    <w:rsid w:val="0038751C"/>
    <w:rsid w:val="0038778B"/>
    <w:rsid w:val="00394451"/>
    <w:rsid w:val="0039584A"/>
    <w:rsid w:val="0039625A"/>
    <w:rsid w:val="00396E93"/>
    <w:rsid w:val="003A4828"/>
    <w:rsid w:val="003A64CB"/>
    <w:rsid w:val="003A6622"/>
    <w:rsid w:val="003A673F"/>
    <w:rsid w:val="003B145D"/>
    <w:rsid w:val="003B28F1"/>
    <w:rsid w:val="003B4678"/>
    <w:rsid w:val="003B4F77"/>
    <w:rsid w:val="003B502C"/>
    <w:rsid w:val="003C6B35"/>
    <w:rsid w:val="003C7C21"/>
    <w:rsid w:val="003D0B6A"/>
    <w:rsid w:val="003D650C"/>
    <w:rsid w:val="003D6713"/>
    <w:rsid w:val="003D6E90"/>
    <w:rsid w:val="003D7C37"/>
    <w:rsid w:val="003E110D"/>
    <w:rsid w:val="003E3529"/>
    <w:rsid w:val="003E3D02"/>
    <w:rsid w:val="003E3E6A"/>
    <w:rsid w:val="003E4705"/>
    <w:rsid w:val="003E55BC"/>
    <w:rsid w:val="003E6EAF"/>
    <w:rsid w:val="003F0088"/>
    <w:rsid w:val="003F03C6"/>
    <w:rsid w:val="003F2DDE"/>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EB3"/>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2E0A"/>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3718"/>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4CB9"/>
    <w:rsid w:val="005E606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3303"/>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4F1D"/>
    <w:rsid w:val="006A5FD7"/>
    <w:rsid w:val="006A62B0"/>
    <w:rsid w:val="006A750E"/>
    <w:rsid w:val="006B143E"/>
    <w:rsid w:val="006B30E3"/>
    <w:rsid w:val="006B5E72"/>
    <w:rsid w:val="006B6205"/>
    <w:rsid w:val="006C058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AFB"/>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30FA"/>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E1FB4"/>
    <w:rsid w:val="007E28C1"/>
    <w:rsid w:val="007F0840"/>
    <w:rsid w:val="007F2086"/>
    <w:rsid w:val="007F49DE"/>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27215"/>
    <w:rsid w:val="008312D4"/>
    <w:rsid w:val="008317C8"/>
    <w:rsid w:val="00831915"/>
    <w:rsid w:val="0083305B"/>
    <w:rsid w:val="00834578"/>
    <w:rsid w:val="0083648B"/>
    <w:rsid w:val="00836500"/>
    <w:rsid w:val="00841EAB"/>
    <w:rsid w:val="00844977"/>
    <w:rsid w:val="00844B97"/>
    <w:rsid w:val="00845BB4"/>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1573"/>
    <w:rsid w:val="008928B6"/>
    <w:rsid w:val="00894CA0"/>
    <w:rsid w:val="00895461"/>
    <w:rsid w:val="008957B1"/>
    <w:rsid w:val="00896190"/>
    <w:rsid w:val="00897C5E"/>
    <w:rsid w:val="008A1517"/>
    <w:rsid w:val="008A2307"/>
    <w:rsid w:val="008A2B8F"/>
    <w:rsid w:val="008A2BB7"/>
    <w:rsid w:val="008A4000"/>
    <w:rsid w:val="008A49F8"/>
    <w:rsid w:val="008A4A65"/>
    <w:rsid w:val="008A6621"/>
    <w:rsid w:val="008A70A5"/>
    <w:rsid w:val="008B201B"/>
    <w:rsid w:val="008B2D64"/>
    <w:rsid w:val="008B368E"/>
    <w:rsid w:val="008B38A4"/>
    <w:rsid w:val="008B38EE"/>
    <w:rsid w:val="008B4F2F"/>
    <w:rsid w:val="008B55B4"/>
    <w:rsid w:val="008B6A00"/>
    <w:rsid w:val="008B7C56"/>
    <w:rsid w:val="008C0269"/>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5F38"/>
    <w:rsid w:val="00996D25"/>
    <w:rsid w:val="009A043C"/>
    <w:rsid w:val="009A12ED"/>
    <w:rsid w:val="009A201F"/>
    <w:rsid w:val="009A62FC"/>
    <w:rsid w:val="009A6989"/>
    <w:rsid w:val="009A72EB"/>
    <w:rsid w:val="009A7920"/>
    <w:rsid w:val="009B105E"/>
    <w:rsid w:val="009B2B4E"/>
    <w:rsid w:val="009B396E"/>
    <w:rsid w:val="009B39A2"/>
    <w:rsid w:val="009B3B97"/>
    <w:rsid w:val="009B49F3"/>
    <w:rsid w:val="009B4E5D"/>
    <w:rsid w:val="009B567A"/>
    <w:rsid w:val="009C5C75"/>
    <w:rsid w:val="009D1C23"/>
    <w:rsid w:val="009D2A29"/>
    <w:rsid w:val="009D379D"/>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085"/>
    <w:rsid w:val="00A065F5"/>
    <w:rsid w:val="00A10857"/>
    <w:rsid w:val="00A1221A"/>
    <w:rsid w:val="00A1269B"/>
    <w:rsid w:val="00A130F9"/>
    <w:rsid w:val="00A1585F"/>
    <w:rsid w:val="00A16000"/>
    <w:rsid w:val="00A16398"/>
    <w:rsid w:val="00A203D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BFD"/>
    <w:rsid w:val="00A80C19"/>
    <w:rsid w:val="00A83279"/>
    <w:rsid w:val="00A836D5"/>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6BE"/>
    <w:rsid w:val="00AB08A6"/>
    <w:rsid w:val="00AB18B3"/>
    <w:rsid w:val="00AB1A1E"/>
    <w:rsid w:val="00AB236C"/>
    <w:rsid w:val="00AC06B6"/>
    <w:rsid w:val="00AC10DC"/>
    <w:rsid w:val="00AC7830"/>
    <w:rsid w:val="00AC7FB3"/>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5AF7"/>
    <w:rsid w:val="00B871D6"/>
    <w:rsid w:val="00B87A02"/>
    <w:rsid w:val="00B96204"/>
    <w:rsid w:val="00BA0DCC"/>
    <w:rsid w:val="00BA12A2"/>
    <w:rsid w:val="00BA16EF"/>
    <w:rsid w:val="00BA18D0"/>
    <w:rsid w:val="00BA242E"/>
    <w:rsid w:val="00BA3317"/>
    <w:rsid w:val="00BA5A9D"/>
    <w:rsid w:val="00BA6363"/>
    <w:rsid w:val="00BB2D9C"/>
    <w:rsid w:val="00BB3512"/>
    <w:rsid w:val="00BB5D1E"/>
    <w:rsid w:val="00BB62CC"/>
    <w:rsid w:val="00BB7ED6"/>
    <w:rsid w:val="00BC137A"/>
    <w:rsid w:val="00BC4347"/>
    <w:rsid w:val="00BC45E0"/>
    <w:rsid w:val="00BC54B5"/>
    <w:rsid w:val="00BC5D9D"/>
    <w:rsid w:val="00BC6803"/>
    <w:rsid w:val="00BC7BCB"/>
    <w:rsid w:val="00BD109B"/>
    <w:rsid w:val="00BD2944"/>
    <w:rsid w:val="00BD2B5E"/>
    <w:rsid w:val="00BD3AFF"/>
    <w:rsid w:val="00BD43C7"/>
    <w:rsid w:val="00BD4E7A"/>
    <w:rsid w:val="00BD531B"/>
    <w:rsid w:val="00BE00E5"/>
    <w:rsid w:val="00BE2E5A"/>
    <w:rsid w:val="00BE3A10"/>
    <w:rsid w:val="00BE4A21"/>
    <w:rsid w:val="00BE5859"/>
    <w:rsid w:val="00BE717E"/>
    <w:rsid w:val="00BE7E27"/>
    <w:rsid w:val="00BF183C"/>
    <w:rsid w:val="00BF4C15"/>
    <w:rsid w:val="00C057F2"/>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53F9"/>
    <w:rsid w:val="00C560A1"/>
    <w:rsid w:val="00C56E9E"/>
    <w:rsid w:val="00C56EB6"/>
    <w:rsid w:val="00C6233C"/>
    <w:rsid w:val="00C63FC8"/>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95F62"/>
    <w:rsid w:val="00CA184E"/>
    <w:rsid w:val="00CA23C4"/>
    <w:rsid w:val="00CA41C2"/>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458A"/>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22F"/>
    <w:rsid w:val="00D71A7E"/>
    <w:rsid w:val="00D71F81"/>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977"/>
    <w:rsid w:val="00E4415D"/>
    <w:rsid w:val="00E444A5"/>
    <w:rsid w:val="00E44AB8"/>
    <w:rsid w:val="00E47BD8"/>
    <w:rsid w:val="00E50D3F"/>
    <w:rsid w:val="00E517A3"/>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00D5"/>
    <w:rsid w:val="00E8097A"/>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1CB"/>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5B5E"/>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35B33564"/>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64442708">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11/pdf/00322444.pdf" TargetMode="External"/><Relationship Id="rId13" Type="http://schemas.openxmlformats.org/officeDocument/2006/relationships/hyperlink" Target="http://www1.tce.pr.gov.br/multimidia/2017/11/pdf/00322106.pdf" TargetMode="External"/><Relationship Id="rId18" Type="http://schemas.openxmlformats.org/officeDocument/2006/relationships/hyperlink" Target="https://contas.tcu.gov.br/sagas/SvlVisualizarRelVotoAcRtf?codFiltro=SAGAS-SESSAO-ENCERRADA&amp;seOcultaPagina=S&amp;item0=605768" TargetMode="External"/><Relationship Id="rId26" Type="http://schemas.openxmlformats.org/officeDocument/2006/relationships/hyperlink" Target="http://www1.tce.pr.gov.br/conteudo/pesquisas-prontas/308475/area/249"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4983" TargetMode="External"/><Relationship Id="rId7" Type="http://schemas.openxmlformats.org/officeDocument/2006/relationships/endnotes" Target="endnotes.xml"/><Relationship Id="rId12" Type="http://schemas.openxmlformats.org/officeDocument/2006/relationships/hyperlink" Target="http://www1.tce.pr.gov.br/multimidia/2017/11/pdf/00322424.pdf" TargetMode="External"/><Relationship Id="rId17" Type="http://schemas.openxmlformats.org/officeDocument/2006/relationships/hyperlink" Target="http://www.stf.jus.br/portal/processo/verProcessoAndamento.asp?numero=24965&amp;classe=Rcl&amp;origem=AP&amp;recurso=0&amp;tipoJulgamento=M" TargetMode="External"/><Relationship Id="rId25" Type="http://schemas.openxmlformats.org/officeDocument/2006/relationships/hyperlink" Target="https://www.planalto.gov.br/ccivil_03/leis/l8666cons.htm" TargetMode="External"/><Relationship Id="rId2" Type="http://schemas.openxmlformats.org/officeDocument/2006/relationships/numbering" Target="numbering.xml"/><Relationship Id="rId16" Type="http://schemas.openxmlformats.org/officeDocument/2006/relationships/hyperlink" Target="http://www1.tce.pr.gov.br/multimidia/2017/11/pdf/00322242.pdf" TargetMode="External"/><Relationship Id="rId20" Type="http://schemas.openxmlformats.org/officeDocument/2006/relationships/hyperlink" Target="https://contas.tcu.gov.br/sagas/SvlVisualizarRelVotoAcRtf?codFiltro=SAGAS-SESSAO-ENCERRADA&amp;seOcultaPagina=S&amp;item0=6070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11/pdf/00322428.pdf" TargetMode="External"/><Relationship Id="rId24" Type="http://schemas.openxmlformats.org/officeDocument/2006/relationships/hyperlink" Target="https://contas.tcu.gov.br/sagas/SvlVisualizarRelVotoAcRtf?codFiltro=SAGAS-SESSAO-ENCERRADA&amp;seOcultaPagina=S&amp;item0=606903" TargetMode="External"/><Relationship Id="rId5" Type="http://schemas.openxmlformats.org/officeDocument/2006/relationships/webSettings" Target="webSettings.xml"/><Relationship Id="rId15" Type="http://schemas.openxmlformats.org/officeDocument/2006/relationships/hyperlink" Target="http://www1.tce.pr.gov.br/multimidia/2017/11/pdf/00322164.pdf" TargetMode="External"/><Relationship Id="rId23" Type="http://schemas.openxmlformats.org/officeDocument/2006/relationships/hyperlink" Target="http://www.planalto.gov.br/ccivil_03/leis/L8666cons.htm" TargetMode="External"/><Relationship Id="rId28" Type="http://schemas.openxmlformats.org/officeDocument/2006/relationships/header" Target="header1.xml"/><Relationship Id="rId10" Type="http://schemas.openxmlformats.org/officeDocument/2006/relationships/hyperlink" Target="http://www1.tce.pr.gov.br/multimidia/2017/11/pdf/00322249.pdf" TargetMode="External"/><Relationship Id="rId19" Type="http://schemas.openxmlformats.org/officeDocument/2006/relationships/hyperlink" Target="https://contas.tcu.gov.br/sagas/SvlVisualizarRelVotoAcRtf?codFiltro=SAGAS-SESSAO-ENCERRADA&amp;seOcultaPagina=S&amp;item0=57533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multimidia/2017/12/pdf/00322606.pdf" TargetMode="External"/><Relationship Id="rId14" Type="http://schemas.openxmlformats.org/officeDocument/2006/relationships/hyperlink" Target="http://www1.tce.pr.gov.br/multimidia/2017/11/pdf/00322109.pdf" TargetMode="External"/><Relationship Id="rId22" Type="http://schemas.openxmlformats.org/officeDocument/2006/relationships/hyperlink" Target="https://contas.tcu.gov.br/sagas/SvlVisualizarRelVotoAcRtf?codFiltro=SAGAS-SESSAO-ENCERRADA&amp;seOcultaPagina=S&amp;item0=605377"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E7C22-E974-42DE-BF89-FBFB1DBB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2667</Words>
  <Characters>14408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194</cp:revision>
  <cp:lastPrinted>2017-07-10T20:46:00Z</cp:lastPrinted>
  <dcterms:created xsi:type="dcterms:W3CDTF">2017-07-10T20:45:00Z</dcterms:created>
  <dcterms:modified xsi:type="dcterms:W3CDTF">2018-01-18T19:33:00Z</dcterms:modified>
</cp:coreProperties>
</file>