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12F" w:rsidRPr="00640BDC" w:rsidRDefault="0038012F" w:rsidP="0038012F">
      <w:pPr>
        <w:pStyle w:val="Cabealho"/>
        <w:spacing w:after="100" w:afterAutospacing="1"/>
        <w:jc w:val="center"/>
        <w:rPr>
          <w:rFonts w:ascii="Arial" w:hAnsi="Arial" w:cs="Arial"/>
        </w:rPr>
      </w:pPr>
      <w:r w:rsidRPr="00640BDC">
        <w:rPr>
          <w:rFonts w:ascii="Arial" w:hAnsi="Arial" w:cs="Arial"/>
          <w:b/>
        </w:rPr>
        <w:t>Boletim de Jurisprudência TCE/PR</w:t>
      </w:r>
      <w:r w:rsidRPr="00640BDC">
        <w:rPr>
          <w:rFonts w:ascii="Arial" w:hAnsi="Arial" w:cs="Arial"/>
        </w:rPr>
        <w:t xml:space="preserve"> </w:t>
      </w:r>
    </w:p>
    <w:p w:rsidR="001B5F7A" w:rsidRPr="002147AC" w:rsidRDefault="001B5F7A" w:rsidP="001B5F7A">
      <w:pPr>
        <w:spacing w:after="120"/>
        <w:jc w:val="center"/>
        <w:rPr>
          <w:rFonts w:ascii="Arial" w:hAnsi="Arial" w:cs="Arial"/>
          <w:b/>
          <w:sz w:val="20"/>
          <w:szCs w:val="20"/>
        </w:rPr>
      </w:pPr>
      <w:r w:rsidRPr="002147AC">
        <w:rPr>
          <w:rFonts w:ascii="Arial" w:hAnsi="Arial" w:cs="Arial"/>
          <w:b/>
          <w:sz w:val="20"/>
          <w:szCs w:val="20"/>
        </w:rPr>
        <w:t xml:space="preserve">Número </w:t>
      </w:r>
      <w:r w:rsidR="00FF0846">
        <w:rPr>
          <w:rFonts w:ascii="Arial" w:hAnsi="Arial" w:cs="Arial"/>
          <w:b/>
          <w:sz w:val="20"/>
          <w:szCs w:val="20"/>
        </w:rPr>
        <w:t>11</w:t>
      </w:r>
    </w:p>
    <w:p w:rsidR="001B5F7A" w:rsidRDefault="001B5F7A" w:rsidP="001B5F7A">
      <w:pPr>
        <w:spacing w:after="120"/>
        <w:jc w:val="center"/>
        <w:rPr>
          <w:rFonts w:ascii="Arial" w:hAnsi="Arial" w:cs="Arial"/>
          <w:b/>
          <w:sz w:val="20"/>
          <w:szCs w:val="20"/>
        </w:rPr>
      </w:pPr>
      <w:r w:rsidRPr="00FE7B14">
        <w:rPr>
          <w:rFonts w:ascii="Arial" w:hAnsi="Arial" w:cs="Arial"/>
          <w:b/>
          <w:sz w:val="20"/>
          <w:szCs w:val="20"/>
        </w:rPr>
        <w:t xml:space="preserve">Sessões: </w:t>
      </w:r>
      <w:r w:rsidR="00FF0846">
        <w:rPr>
          <w:rFonts w:ascii="Arial" w:hAnsi="Arial" w:cs="Arial"/>
          <w:b/>
          <w:sz w:val="20"/>
          <w:szCs w:val="20"/>
        </w:rPr>
        <w:t>28</w:t>
      </w:r>
      <w:r w:rsidR="005A0FD0" w:rsidRPr="00FE7B14">
        <w:rPr>
          <w:rFonts w:ascii="Arial" w:hAnsi="Arial" w:cs="Arial"/>
          <w:b/>
          <w:sz w:val="20"/>
          <w:szCs w:val="20"/>
        </w:rPr>
        <w:t xml:space="preserve"> </w:t>
      </w:r>
      <w:r w:rsidR="000D4DE6" w:rsidRPr="00FE7B14">
        <w:rPr>
          <w:rFonts w:ascii="Arial" w:hAnsi="Arial" w:cs="Arial"/>
          <w:b/>
          <w:sz w:val="20"/>
          <w:szCs w:val="20"/>
        </w:rPr>
        <w:t>a</w:t>
      </w:r>
      <w:r w:rsidRPr="00FE7B14">
        <w:rPr>
          <w:rFonts w:ascii="Arial" w:hAnsi="Arial" w:cs="Arial"/>
          <w:b/>
          <w:sz w:val="20"/>
          <w:szCs w:val="20"/>
        </w:rPr>
        <w:t xml:space="preserve"> </w:t>
      </w:r>
      <w:r w:rsidR="00FF0846">
        <w:rPr>
          <w:rFonts w:ascii="Arial" w:hAnsi="Arial" w:cs="Arial"/>
          <w:b/>
          <w:sz w:val="20"/>
          <w:szCs w:val="20"/>
        </w:rPr>
        <w:t>30</w:t>
      </w:r>
      <w:r w:rsidR="005A0FD0" w:rsidRPr="00FE7B14">
        <w:rPr>
          <w:rFonts w:ascii="Arial" w:hAnsi="Arial" w:cs="Arial"/>
          <w:b/>
          <w:sz w:val="20"/>
          <w:szCs w:val="20"/>
        </w:rPr>
        <w:t>.0</w:t>
      </w:r>
      <w:r w:rsidR="00C42EFD" w:rsidRPr="00FE7B14">
        <w:rPr>
          <w:rFonts w:ascii="Arial" w:hAnsi="Arial" w:cs="Arial"/>
          <w:b/>
          <w:sz w:val="20"/>
          <w:szCs w:val="20"/>
        </w:rPr>
        <w:t>3</w:t>
      </w:r>
      <w:r w:rsidRPr="00FE7B14">
        <w:rPr>
          <w:rFonts w:ascii="Arial" w:hAnsi="Arial" w:cs="Arial"/>
          <w:b/>
          <w:sz w:val="20"/>
          <w:szCs w:val="20"/>
        </w:rPr>
        <w:t xml:space="preserve"> de 201</w:t>
      </w:r>
      <w:r w:rsidR="005A0FD0" w:rsidRPr="00FE7B14">
        <w:rPr>
          <w:rFonts w:ascii="Arial" w:hAnsi="Arial" w:cs="Arial"/>
          <w:b/>
          <w:sz w:val="20"/>
          <w:szCs w:val="20"/>
        </w:rPr>
        <w:t>7</w:t>
      </w:r>
    </w:p>
    <w:p w:rsidR="00FE7B14" w:rsidRDefault="00FE7B14" w:rsidP="00FE7B14">
      <w:pPr>
        <w:spacing w:after="0"/>
        <w:jc w:val="both"/>
        <w:rPr>
          <w:rFonts w:ascii="Arial" w:hAnsi="Arial" w:cs="Arial"/>
          <w:sz w:val="18"/>
          <w:szCs w:val="18"/>
        </w:rPr>
      </w:pPr>
      <w:r w:rsidRPr="006375ED">
        <w:rPr>
          <w:rFonts w:ascii="Arial" w:hAnsi="Arial" w:cs="Arial"/>
          <w:sz w:val="18"/>
          <w:szCs w:val="18"/>
        </w:rPr>
        <w:t xml:space="preserve">Este Boletim contém informações sintéticas de decisões proferidas pelos Colegiados do TCE/PR que receberam indicação de relevância sob o prisma jurisprudencial no período acima indicado. </w:t>
      </w:r>
      <w:r w:rsidRPr="006375ED">
        <w:rPr>
          <w:rFonts w:ascii="Arial" w:hAnsi="Arial" w:cs="Arial"/>
          <w:color w:val="212121"/>
          <w:sz w:val="18"/>
          <w:szCs w:val="18"/>
        </w:rPr>
        <w:t>A seleção das decisões leva em consideração ao menos um dos seguintes fatores: ineditismo da deliberação, discussão no colegiado ou reiteração de entendimento importante.</w:t>
      </w:r>
      <w:r w:rsidRPr="006375ED">
        <w:rPr>
          <w:rFonts w:ascii="Arial" w:hAnsi="Arial" w:cs="Arial"/>
          <w:sz w:val="18"/>
          <w:szCs w:val="18"/>
        </w:rPr>
        <w:t xml:space="preserve"> O objetivo é facilitar ao interessado o acompanhamento dos acórdãos mais importantes do Tribunal. Para aprofundamento, o leitor pode acessar o inteiro teor das deliberações por meio dos links disponíveis.</w:t>
      </w:r>
      <w:r w:rsidRPr="006375ED">
        <w:rPr>
          <w:rFonts w:ascii="Arial" w:hAnsi="Arial" w:cs="Arial"/>
          <w:color w:val="212121"/>
          <w:sz w:val="18"/>
          <w:szCs w:val="18"/>
        </w:rPr>
        <w:t xml:space="preserve"> </w:t>
      </w:r>
      <w:r w:rsidRPr="006375ED">
        <w:rPr>
          <w:rFonts w:ascii="Arial" w:hAnsi="Arial" w:cs="Arial"/>
          <w:sz w:val="18"/>
          <w:szCs w:val="18"/>
        </w:rPr>
        <w:t>As informações aqui apresentadas não são repositórios oficiais de jurisprudência.</w:t>
      </w:r>
    </w:p>
    <w:p w:rsidR="00FE7B14" w:rsidRPr="006375ED" w:rsidRDefault="00FE7B14" w:rsidP="00FE7B14">
      <w:pPr>
        <w:spacing w:after="0"/>
        <w:jc w:val="both"/>
        <w:rPr>
          <w:rFonts w:ascii="Arial" w:hAnsi="Arial" w:cs="Arial"/>
          <w:sz w:val="18"/>
          <w:szCs w:val="18"/>
        </w:rPr>
      </w:pPr>
    </w:p>
    <w:p w:rsidR="00FE7B14" w:rsidRDefault="00FE7B14" w:rsidP="00FE7B14">
      <w:pPr>
        <w:spacing w:after="120"/>
        <w:jc w:val="both"/>
      </w:pPr>
      <w:r>
        <w:rPr>
          <w:rFonts w:ascii="Times New Roman" w:hAnsi="Times New Roman"/>
          <w:noProof/>
          <w:lang w:eastAsia="pt-BR"/>
        </w:rPr>
        <mc:AlternateContent>
          <mc:Choice Requires="wps">
            <w:drawing>
              <wp:anchor distT="0" distB="0" distL="114300" distR="114300" simplePos="0" relativeHeight="251669504" behindDoc="0" locked="0" layoutInCell="1" allowOverlap="1" wp14:anchorId="6B69DEB3" wp14:editId="579163A6">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0876662" id="Conector reto 1"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rsidR="00AE4F42" w:rsidRPr="00722924" w:rsidRDefault="00AE4F42" w:rsidP="00BB5D1E">
      <w:pPr>
        <w:shd w:val="pct10" w:color="auto" w:fill="auto"/>
        <w:spacing w:after="0"/>
        <w:jc w:val="center"/>
        <w:rPr>
          <w:rFonts w:ascii="Arial" w:hAnsi="Arial" w:cs="Arial"/>
          <w:b/>
        </w:rPr>
      </w:pPr>
      <w:r>
        <w:rPr>
          <w:rFonts w:ascii="Arial" w:hAnsi="Arial" w:cs="Arial"/>
          <w:b/>
        </w:rPr>
        <w:t>S</w:t>
      </w:r>
      <w:r w:rsidR="00221D15">
        <w:rPr>
          <w:rFonts w:ascii="Arial" w:hAnsi="Arial" w:cs="Arial"/>
          <w:b/>
        </w:rPr>
        <w:t>U</w:t>
      </w:r>
      <w:r>
        <w:rPr>
          <w:rFonts w:ascii="Arial" w:hAnsi="Arial" w:cs="Arial"/>
          <w:b/>
        </w:rPr>
        <w:t>MÁRIO</w:t>
      </w:r>
    </w:p>
    <w:p w:rsidR="002805F1" w:rsidRDefault="002805F1" w:rsidP="00BB5D1E">
      <w:pPr>
        <w:autoSpaceDE w:val="0"/>
        <w:autoSpaceDN w:val="0"/>
        <w:adjustRightInd w:val="0"/>
        <w:spacing w:after="0"/>
        <w:jc w:val="both"/>
        <w:rPr>
          <w:rFonts w:ascii="Arial" w:hAnsi="Arial" w:cs="Arial"/>
          <w:color w:val="000000"/>
          <w:sz w:val="20"/>
          <w:szCs w:val="20"/>
          <w:shd w:val="clear" w:color="auto" w:fill="FFFFFF"/>
        </w:rPr>
      </w:pPr>
    </w:p>
    <w:p w:rsidR="00824136" w:rsidRDefault="006A3A42" w:rsidP="00824136">
      <w:pPr>
        <w:spacing w:after="0"/>
        <w:jc w:val="both"/>
        <w:rPr>
          <w:rFonts w:ascii="Arial" w:hAnsi="Arial" w:cs="Arial"/>
          <w:sz w:val="20"/>
          <w:szCs w:val="20"/>
        </w:rPr>
      </w:pPr>
      <w:r>
        <w:rPr>
          <w:rFonts w:ascii="Arial" w:hAnsi="Arial" w:cs="Arial"/>
          <w:color w:val="000000"/>
          <w:sz w:val="20"/>
          <w:szCs w:val="20"/>
          <w:shd w:val="clear" w:color="auto" w:fill="FFFFFF"/>
        </w:rPr>
        <w:t>1</w:t>
      </w:r>
      <w:r w:rsidRPr="00824136">
        <w:rPr>
          <w:rFonts w:ascii="Arial" w:hAnsi="Arial" w:cs="Arial"/>
          <w:color w:val="000000"/>
          <w:sz w:val="20"/>
          <w:szCs w:val="20"/>
          <w:shd w:val="clear" w:color="auto" w:fill="FFFFFF"/>
        </w:rPr>
        <w:t>.</w:t>
      </w:r>
      <w:r w:rsidR="00824136" w:rsidRPr="00824136">
        <w:rPr>
          <w:rFonts w:ascii="Arial" w:hAnsi="Arial" w:cs="Arial"/>
          <w:color w:val="000000"/>
          <w:sz w:val="20"/>
          <w:szCs w:val="20"/>
          <w:shd w:val="clear" w:color="auto" w:fill="FFFFFF"/>
        </w:rPr>
        <w:t xml:space="preserve"> </w:t>
      </w:r>
      <w:r w:rsidR="00824136" w:rsidRPr="00824136">
        <w:rPr>
          <w:rFonts w:ascii="Arial" w:hAnsi="Arial" w:cs="Arial"/>
          <w:sz w:val="20"/>
          <w:szCs w:val="20"/>
        </w:rPr>
        <w:t>Prestação de Contas Anual. Município de Ariranha do Ivaí. Imputações de débitos ao gestor por danos causados ao erário pelo recolhimento em atraso de contribuições devidas ao INSS. Contratação de empresa para realização de compensação previdenciária financeira. Parecer Prévio pela irregularidade das contas. Aplicação de sanções. Instauração de Tomada de Contas Extraordinária.</w:t>
      </w:r>
    </w:p>
    <w:p w:rsidR="006A3A42" w:rsidRDefault="006A3A42" w:rsidP="00BB5D1E">
      <w:pPr>
        <w:autoSpaceDE w:val="0"/>
        <w:autoSpaceDN w:val="0"/>
        <w:adjustRightInd w:val="0"/>
        <w:spacing w:after="0"/>
        <w:jc w:val="both"/>
        <w:rPr>
          <w:rFonts w:ascii="Arial" w:hAnsi="Arial" w:cs="Arial"/>
          <w:color w:val="000000"/>
          <w:sz w:val="20"/>
          <w:szCs w:val="20"/>
          <w:shd w:val="clear" w:color="auto" w:fill="FFFFFF"/>
        </w:rPr>
      </w:pPr>
    </w:p>
    <w:p w:rsidR="00824136" w:rsidRPr="00824136" w:rsidRDefault="006A3A42" w:rsidP="00824136">
      <w:pPr>
        <w:spacing w:after="0"/>
        <w:jc w:val="both"/>
        <w:rPr>
          <w:rFonts w:ascii="Arial" w:hAnsi="Arial" w:cs="Arial"/>
          <w:sz w:val="20"/>
          <w:szCs w:val="20"/>
        </w:rPr>
      </w:pPr>
      <w:r>
        <w:rPr>
          <w:rFonts w:ascii="Arial" w:hAnsi="Arial" w:cs="Arial"/>
          <w:color w:val="000000"/>
          <w:sz w:val="20"/>
          <w:szCs w:val="20"/>
          <w:shd w:val="clear" w:color="auto" w:fill="FFFFFF"/>
        </w:rPr>
        <w:t>2.</w:t>
      </w:r>
      <w:r w:rsidR="00824136">
        <w:rPr>
          <w:rFonts w:ascii="Arial" w:hAnsi="Arial" w:cs="Arial"/>
          <w:color w:val="000000"/>
          <w:sz w:val="20"/>
          <w:szCs w:val="20"/>
          <w:shd w:val="clear" w:color="auto" w:fill="FFFFFF"/>
        </w:rPr>
        <w:t xml:space="preserve"> </w:t>
      </w:r>
      <w:r w:rsidR="00824136" w:rsidRPr="00824136">
        <w:rPr>
          <w:rFonts w:ascii="Arial" w:hAnsi="Arial" w:cs="Arial"/>
          <w:sz w:val="20"/>
          <w:szCs w:val="20"/>
        </w:rPr>
        <w:t>Admissão de pessoal. Lei Municipal nº 986/1997 declarada inconstitucional e certame anulado pelo Poder Judiciário. Negativa de registro com instauração de Tomada de Contas Extraordinária para apuração de ilegalidade e dano ao erário.</w:t>
      </w:r>
    </w:p>
    <w:p w:rsidR="006A3A42" w:rsidRDefault="006A3A42" w:rsidP="00BB5D1E">
      <w:pPr>
        <w:autoSpaceDE w:val="0"/>
        <w:autoSpaceDN w:val="0"/>
        <w:adjustRightInd w:val="0"/>
        <w:spacing w:after="0"/>
        <w:jc w:val="both"/>
        <w:rPr>
          <w:rFonts w:ascii="Arial" w:hAnsi="Arial" w:cs="Arial"/>
          <w:color w:val="000000"/>
          <w:sz w:val="20"/>
          <w:szCs w:val="20"/>
          <w:shd w:val="clear" w:color="auto" w:fill="FFFFFF"/>
        </w:rPr>
      </w:pPr>
    </w:p>
    <w:p w:rsidR="00824136" w:rsidRPr="00901036" w:rsidRDefault="006A3A42" w:rsidP="00824136">
      <w:pPr>
        <w:spacing w:after="0"/>
        <w:jc w:val="both"/>
        <w:rPr>
          <w:rFonts w:ascii="Arial" w:hAnsi="Arial" w:cs="Arial"/>
          <w:sz w:val="20"/>
          <w:szCs w:val="20"/>
        </w:rPr>
      </w:pPr>
      <w:r>
        <w:rPr>
          <w:rFonts w:ascii="Arial" w:hAnsi="Arial" w:cs="Arial"/>
          <w:color w:val="000000"/>
          <w:sz w:val="20"/>
          <w:szCs w:val="20"/>
          <w:shd w:val="clear" w:color="auto" w:fill="FFFFFF"/>
        </w:rPr>
        <w:t>3.</w:t>
      </w:r>
      <w:r w:rsidR="00824136">
        <w:rPr>
          <w:rFonts w:ascii="Arial" w:hAnsi="Arial" w:cs="Arial"/>
          <w:color w:val="000000"/>
          <w:sz w:val="20"/>
          <w:szCs w:val="20"/>
          <w:shd w:val="clear" w:color="auto" w:fill="FFFFFF"/>
        </w:rPr>
        <w:t xml:space="preserve"> </w:t>
      </w:r>
      <w:r w:rsidR="00824136" w:rsidRPr="00901036">
        <w:rPr>
          <w:rFonts w:ascii="Arial" w:hAnsi="Arial" w:cs="Arial"/>
          <w:sz w:val="20"/>
          <w:szCs w:val="20"/>
        </w:rPr>
        <w:t xml:space="preserve">Aposentadoria municipal. Cálculo de verbas sazonais e inobservância do art. 37, XII da CF/88. Superveniência de lei municipal disciplinando a incidência de contribuição previdenciária sobre as gratificações. Incorporação proporcional das verbas transitórias. Princípio contributivo. Legalidade e registro. </w:t>
      </w:r>
    </w:p>
    <w:p w:rsidR="006A3A42" w:rsidRDefault="006A3A42" w:rsidP="00BB5D1E">
      <w:pPr>
        <w:autoSpaceDE w:val="0"/>
        <w:autoSpaceDN w:val="0"/>
        <w:adjustRightInd w:val="0"/>
        <w:spacing w:after="0"/>
        <w:jc w:val="both"/>
        <w:rPr>
          <w:rFonts w:ascii="Arial" w:hAnsi="Arial" w:cs="Arial"/>
          <w:color w:val="000000"/>
          <w:sz w:val="20"/>
          <w:szCs w:val="20"/>
          <w:shd w:val="clear" w:color="auto" w:fill="FFFFFF"/>
        </w:rPr>
      </w:pPr>
    </w:p>
    <w:p w:rsidR="006A3A42" w:rsidRDefault="006A3A42" w:rsidP="00BB5D1E">
      <w:pPr>
        <w:autoSpaceDE w:val="0"/>
        <w:autoSpaceDN w:val="0"/>
        <w:adjustRightInd w:val="0"/>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4.</w:t>
      </w:r>
      <w:r w:rsidR="00901036">
        <w:rPr>
          <w:rFonts w:ascii="Arial" w:hAnsi="Arial" w:cs="Arial"/>
          <w:color w:val="000000"/>
          <w:sz w:val="20"/>
          <w:szCs w:val="20"/>
          <w:shd w:val="clear" w:color="auto" w:fill="FFFFFF"/>
        </w:rPr>
        <w:t xml:space="preserve"> </w:t>
      </w:r>
      <w:r w:rsidR="00901036" w:rsidRPr="00901036">
        <w:rPr>
          <w:rFonts w:ascii="Arial" w:hAnsi="Arial" w:cs="Arial"/>
          <w:sz w:val="20"/>
          <w:szCs w:val="20"/>
        </w:rPr>
        <w:t>Aposentadoria Municipal. Professor de Educação Infantil. Leis Municipais de Curitiba. Aplicação dos princípios da segurança jurídica, da proteção da confiança e da boa-fé. Registro do Ato de Admissão.</w:t>
      </w:r>
    </w:p>
    <w:p w:rsidR="006A3A42" w:rsidRDefault="006A3A42" w:rsidP="00BB5D1E">
      <w:pPr>
        <w:autoSpaceDE w:val="0"/>
        <w:autoSpaceDN w:val="0"/>
        <w:adjustRightInd w:val="0"/>
        <w:spacing w:after="0"/>
        <w:jc w:val="both"/>
        <w:rPr>
          <w:rFonts w:ascii="Arial" w:hAnsi="Arial" w:cs="Arial"/>
          <w:color w:val="000000"/>
          <w:sz w:val="20"/>
          <w:szCs w:val="20"/>
          <w:shd w:val="clear" w:color="auto" w:fill="FFFFFF"/>
        </w:rPr>
      </w:pPr>
    </w:p>
    <w:p w:rsidR="004D14AD" w:rsidRPr="004D14AD" w:rsidRDefault="006A3A42" w:rsidP="004D14AD">
      <w:pPr>
        <w:autoSpaceDE w:val="0"/>
        <w:autoSpaceDN w:val="0"/>
        <w:adjustRightInd w:val="0"/>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5.</w:t>
      </w:r>
      <w:r w:rsidR="004D14AD">
        <w:rPr>
          <w:rFonts w:ascii="Arial" w:hAnsi="Arial" w:cs="Arial"/>
          <w:color w:val="000000"/>
          <w:sz w:val="20"/>
          <w:szCs w:val="20"/>
          <w:shd w:val="clear" w:color="auto" w:fill="FFFFFF"/>
        </w:rPr>
        <w:t xml:space="preserve"> </w:t>
      </w:r>
      <w:r w:rsidR="004D14AD" w:rsidRPr="004D14AD">
        <w:rPr>
          <w:rFonts w:ascii="Arial" w:hAnsi="Arial" w:cs="Arial"/>
          <w:color w:val="000000"/>
          <w:sz w:val="20"/>
          <w:szCs w:val="20"/>
          <w:shd w:val="clear" w:color="auto" w:fill="FFFFFF"/>
        </w:rPr>
        <w:t>Admissão de Pessoal. Acumulação de cargos. Área de Saúde. Carga horária acima de 60 horas semanais. Incompatibilidade de horários.</w:t>
      </w:r>
    </w:p>
    <w:p w:rsidR="006A3A42" w:rsidRDefault="006A3A42" w:rsidP="00BB5D1E">
      <w:pPr>
        <w:autoSpaceDE w:val="0"/>
        <w:autoSpaceDN w:val="0"/>
        <w:adjustRightInd w:val="0"/>
        <w:spacing w:after="0"/>
        <w:jc w:val="both"/>
        <w:rPr>
          <w:rFonts w:ascii="Arial" w:hAnsi="Arial" w:cs="Arial"/>
          <w:color w:val="000000"/>
          <w:sz w:val="20"/>
          <w:szCs w:val="20"/>
          <w:shd w:val="clear" w:color="auto" w:fill="FFFFFF"/>
        </w:rPr>
      </w:pPr>
    </w:p>
    <w:p w:rsidR="006B6205" w:rsidRPr="006B6205" w:rsidRDefault="004D14AD" w:rsidP="006B6205">
      <w:pPr>
        <w:autoSpaceDE w:val="0"/>
        <w:autoSpaceDN w:val="0"/>
        <w:adjustRightInd w:val="0"/>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6</w:t>
      </w:r>
      <w:r w:rsidR="006A3A42">
        <w:rPr>
          <w:rFonts w:ascii="Arial" w:hAnsi="Arial" w:cs="Arial"/>
          <w:color w:val="000000"/>
          <w:sz w:val="20"/>
          <w:szCs w:val="20"/>
          <w:shd w:val="clear" w:color="auto" w:fill="FFFFFF"/>
        </w:rPr>
        <w:t>.</w:t>
      </w:r>
      <w:r w:rsidR="006B6205">
        <w:rPr>
          <w:rFonts w:ascii="Arial" w:hAnsi="Arial" w:cs="Arial"/>
          <w:color w:val="000000"/>
          <w:sz w:val="20"/>
          <w:szCs w:val="20"/>
          <w:shd w:val="clear" w:color="auto" w:fill="FFFFFF"/>
        </w:rPr>
        <w:t xml:space="preserve"> </w:t>
      </w:r>
      <w:r w:rsidR="006B6205" w:rsidRPr="006B6205">
        <w:rPr>
          <w:rFonts w:ascii="Arial" w:hAnsi="Arial" w:cs="Arial"/>
          <w:color w:val="000000"/>
          <w:sz w:val="20"/>
          <w:szCs w:val="20"/>
          <w:shd w:val="clear" w:color="auto" w:fill="FFFFFF"/>
        </w:rPr>
        <w:t>Representação da Lei nº 8.666/1993. Compras Públicas. Fracionamento do Objeto. Parcelamento. Valor Global. Economicidade. Necessidade de demonstração.</w:t>
      </w:r>
    </w:p>
    <w:p w:rsidR="006A3A42" w:rsidRDefault="006A3A42" w:rsidP="00BB5D1E">
      <w:pPr>
        <w:autoSpaceDE w:val="0"/>
        <w:autoSpaceDN w:val="0"/>
        <w:adjustRightInd w:val="0"/>
        <w:spacing w:after="0"/>
        <w:jc w:val="both"/>
        <w:rPr>
          <w:rFonts w:ascii="Arial" w:hAnsi="Arial" w:cs="Arial"/>
          <w:color w:val="000000"/>
          <w:sz w:val="20"/>
          <w:szCs w:val="20"/>
          <w:shd w:val="clear" w:color="auto" w:fill="FFFFFF"/>
        </w:rPr>
      </w:pPr>
    </w:p>
    <w:p w:rsidR="00706127" w:rsidRDefault="004D14AD" w:rsidP="00706127">
      <w:pPr>
        <w:autoSpaceDE w:val="0"/>
        <w:autoSpaceDN w:val="0"/>
        <w:adjustRightInd w:val="0"/>
        <w:spacing w:after="0"/>
        <w:jc w:val="both"/>
        <w:rPr>
          <w:rFonts w:ascii="Arial" w:hAnsi="Arial" w:cs="Arial"/>
          <w:b/>
          <w:color w:val="000000"/>
          <w:sz w:val="20"/>
          <w:szCs w:val="20"/>
          <w:shd w:val="clear" w:color="auto" w:fill="FFFFFF"/>
        </w:rPr>
      </w:pPr>
      <w:r>
        <w:rPr>
          <w:rFonts w:ascii="Arial" w:hAnsi="Arial" w:cs="Arial"/>
          <w:color w:val="000000"/>
          <w:sz w:val="20"/>
          <w:szCs w:val="20"/>
          <w:shd w:val="clear" w:color="auto" w:fill="FFFFFF"/>
        </w:rPr>
        <w:t>7</w:t>
      </w:r>
      <w:r w:rsidR="006A3A42">
        <w:rPr>
          <w:rFonts w:ascii="Arial" w:hAnsi="Arial" w:cs="Arial"/>
          <w:color w:val="000000"/>
          <w:sz w:val="20"/>
          <w:szCs w:val="20"/>
          <w:shd w:val="clear" w:color="auto" w:fill="FFFFFF"/>
        </w:rPr>
        <w:t>.</w:t>
      </w:r>
      <w:r w:rsidR="00706127">
        <w:rPr>
          <w:rFonts w:ascii="Arial" w:hAnsi="Arial" w:cs="Arial"/>
          <w:color w:val="000000"/>
          <w:sz w:val="20"/>
          <w:szCs w:val="20"/>
          <w:shd w:val="clear" w:color="auto" w:fill="FFFFFF"/>
        </w:rPr>
        <w:t xml:space="preserve"> </w:t>
      </w:r>
      <w:r w:rsidR="00706127" w:rsidRPr="00706127">
        <w:rPr>
          <w:rFonts w:ascii="Arial" w:hAnsi="Arial" w:cs="Arial"/>
          <w:color w:val="000000"/>
          <w:sz w:val="20"/>
          <w:szCs w:val="20"/>
          <w:shd w:val="clear" w:color="auto" w:fill="FFFFFF"/>
        </w:rPr>
        <w:t>Representação da Lei nº 8.666/1993. Licitação. Exigências em edital. Especificações não relacionadas à qualidade do produto. Direcionamento de marca. Proibição.</w:t>
      </w:r>
      <w:r w:rsidR="00706127">
        <w:rPr>
          <w:rFonts w:ascii="Arial" w:hAnsi="Arial" w:cs="Arial"/>
          <w:b/>
          <w:color w:val="000000"/>
          <w:sz w:val="20"/>
          <w:szCs w:val="20"/>
          <w:shd w:val="clear" w:color="auto" w:fill="FFFFFF"/>
        </w:rPr>
        <w:t xml:space="preserve"> </w:t>
      </w:r>
    </w:p>
    <w:p w:rsidR="006A3A42" w:rsidRDefault="006A3A42" w:rsidP="00BB5D1E">
      <w:pPr>
        <w:autoSpaceDE w:val="0"/>
        <w:autoSpaceDN w:val="0"/>
        <w:adjustRightInd w:val="0"/>
        <w:spacing w:after="0"/>
        <w:jc w:val="both"/>
        <w:rPr>
          <w:rFonts w:ascii="Arial" w:hAnsi="Arial" w:cs="Arial"/>
          <w:color w:val="000000"/>
          <w:sz w:val="20"/>
          <w:szCs w:val="20"/>
          <w:shd w:val="clear" w:color="auto" w:fill="FFFFFF"/>
        </w:rPr>
      </w:pPr>
    </w:p>
    <w:p w:rsidR="00706127" w:rsidRPr="00706127" w:rsidRDefault="004D14AD" w:rsidP="00706127">
      <w:pPr>
        <w:autoSpaceDE w:val="0"/>
        <w:autoSpaceDN w:val="0"/>
        <w:adjustRightInd w:val="0"/>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8</w:t>
      </w:r>
      <w:r w:rsidR="006A3A42">
        <w:rPr>
          <w:rFonts w:ascii="Arial" w:hAnsi="Arial" w:cs="Arial"/>
          <w:color w:val="000000"/>
          <w:sz w:val="20"/>
          <w:szCs w:val="20"/>
          <w:shd w:val="clear" w:color="auto" w:fill="FFFFFF"/>
        </w:rPr>
        <w:t>.</w:t>
      </w:r>
      <w:r w:rsidR="00706127" w:rsidRPr="00706127">
        <w:rPr>
          <w:rFonts w:ascii="Arial" w:hAnsi="Arial" w:cs="Arial"/>
          <w:b/>
          <w:color w:val="000000"/>
          <w:sz w:val="20"/>
          <w:szCs w:val="20"/>
          <w:shd w:val="clear" w:color="auto" w:fill="FFFFFF"/>
        </w:rPr>
        <w:t xml:space="preserve"> </w:t>
      </w:r>
      <w:r w:rsidR="00706127" w:rsidRPr="00706127">
        <w:rPr>
          <w:rFonts w:ascii="Arial" w:hAnsi="Arial" w:cs="Arial"/>
          <w:color w:val="000000"/>
          <w:sz w:val="20"/>
          <w:szCs w:val="20"/>
          <w:shd w:val="clear" w:color="auto" w:fill="FFFFFF"/>
        </w:rPr>
        <w:t xml:space="preserve">Pedido de Rescisão. Novos elementos. Recolhimentos de valores recebidos a maior. Prejulgado nº 04/TCE-PR. Documentos produzidos posteriormente ao julgamento. </w:t>
      </w:r>
    </w:p>
    <w:p w:rsidR="006A3A42" w:rsidRDefault="006A3A42" w:rsidP="00BB5D1E">
      <w:pPr>
        <w:autoSpaceDE w:val="0"/>
        <w:autoSpaceDN w:val="0"/>
        <w:adjustRightInd w:val="0"/>
        <w:spacing w:after="0"/>
        <w:jc w:val="both"/>
        <w:rPr>
          <w:rFonts w:ascii="Arial" w:hAnsi="Arial" w:cs="Arial"/>
          <w:color w:val="000000"/>
          <w:sz w:val="20"/>
          <w:szCs w:val="20"/>
          <w:shd w:val="clear" w:color="auto" w:fill="FFFFFF"/>
        </w:rPr>
      </w:pPr>
    </w:p>
    <w:p w:rsidR="00706127" w:rsidRDefault="004D14AD" w:rsidP="00706127">
      <w:pPr>
        <w:autoSpaceDE w:val="0"/>
        <w:autoSpaceDN w:val="0"/>
        <w:adjustRightInd w:val="0"/>
        <w:spacing w:after="0"/>
        <w:jc w:val="both"/>
        <w:rPr>
          <w:rFonts w:ascii="Arial" w:hAnsi="Arial" w:cs="Arial"/>
          <w:b/>
          <w:color w:val="000000"/>
          <w:sz w:val="20"/>
          <w:szCs w:val="20"/>
          <w:shd w:val="clear" w:color="auto" w:fill="FFFFFF"/>
        </w:rPr>
      </w:pPr>
      <w:r>
        <w:rPr>
          <w:rFonts w:ascii="Arial" w:hAnsi="Arial" w:cs="Arial"/>
          <w:color w:val="000000"/>
          <w:sz w:val="20"/>
          <w:szCs w:val="20"/>
          <w:shd w:val="clear" w:color="auto" w:fill="FFFFFF"/>
        </w:rPr>
        <w:lastRenderedPageBreak/>
        <w:t>9</w:t>
      </w:r>
      <w:r w:rsidR="006A3A42">
        <w:rPr>
          <w:rFonts w:ascii="Arial" w:hAnsi="Arial" w:cs="Arial"/>
          <w:color w:val="000000"/>
          <w:sz w:val="20"/>
          <w:szCs w:val="20"/>
          <w:shd w:val="clear" w:color="auto" w:fill="FFFFFF"/>
        </w:rPr>
        <w:t>.</w:t>
      </w:r>
      <w:r w:rsidR="00706127" w:rsidRPr="00706127">
        <w:rPr>
          <w:rFonts w:ascii="Arial" w:hAnsi="Arial" w:cs="Arial"/>
          <w:b/>
          <w:color w:val="000000"/>
          <w:sz w:val="20"/>
          <w:szCs w:val="20"/>
          <w:shd w:val="clear" w:color="auto" w:fill="FFFFFF"/>
        </w:rPr>
        <w:t xml:space="preserve"> </w:t>
      </w:r>
      <w:r w:rsidR="00706127" w:rsidRPr="00706127">
        <w:rPr>
          <w:rFonts w:ascii="Arial" w:hAnsi="Arial" w:cs="Arial"/>
          <w:color w:val="000000"/>
          <w:sz w:val="20"/>
          <w:szCs w:val="20"/>
          <w:shd w:val="clear" w:color="auto" w:fill="FFFFFF"/>
        </w:rPr>
        <w:t>Representação. Improbidade Administrativa. Ação Civil Pública. Competência de Tribunal de Contas. Exaurimento.</w:t>
      </w:r>
    </w:p>
    <w:p w:rsidR="00A62886" w:rsidRPr="00BC45E0" w:rsidRDefault="00A62886" w:rsidP="00BB5D1E">
      <w:pPr>
        <w:autoSpaceDE w:val="0"/>
        <w:autoSpaceDN w:val="0"/>
        <w:adjustRightInd w:val="0"/>
        <w:spacing w:after="0"/>
        <w:jc w:val="both"/>
        <w:rPr>
          <w:rFonts w:ascii="Arial" w:hAnsi="Arial" w:cs="Arial"/>
          <w:color w:val="000000"/>
          <w:sz w:val="20"/>
          <w:szCs w:val="20"/>
          <w:shd w:val="clear" w:color="auto" w:fill="FFFFFF"/>
        </w:rPr>
      </w:pPr>
    </w:p>
    <w:p w:rsidR="00712A93" w:rsidRPr="00722924" w:rsidRDefault="00712A93" w:rsidP="00BB5D1E">
      <w:pPr>
        <w:shd w:val="pct10" w:color="auto" w:fill="auto"/>
        <w:spacing w:after="0"/>
        <w:jc w:val="center"/>
        <w:rPr>
          <w:rFonts w:ascii="Arial" w:hAnsi="Arial" w:cs="Arial"/>
          <w:b/>
        </w:rPr>
      </w:pPr>
      <w:r w:rsidRPr="00722924">
        <w:rPr>
          <w:rFonts w:ascii="Arial" w:hAnsi="Arial" w:cs="Arial"/>
          <w:b/>
        </w:rPr>
        <w:t>PRIMEIRA CÂMARA</w:t>
      </w:r>
    </w:p>
    <w:p w:rsidR="002805F1" w:rsidRDefault="002805F1" w:rsidP="00BB5D1E">
      <w:pPr>
        <w:spacing w:after="0"/>
        <w:jc w:val="both"/>
        <w:rPr>
          <w:rFonts w:ascii="Arial" w:hAnsi="Arial" w:cs="Arial"/>
          <w:sz w:val="20"/>
          <w:szCs w:val="20"/>
        </w:rPr>
      </w:pPr>
    </w:p>
    <w:p w:rsidR="0087668E" w:rsidRDefault="001F7A25" w:rsidP="007A797E">
      <w:pPr>
        <w:spacing w:after="0"/>
        <w:jc w:val="both"/>
        <w:rPr>
          <w:rFonts w:ascii="Arial" w:hAnsi="Arial" w:cs="Arial"/>
          <w:sz w:val="20"/>
          <w:szCs w:val="20"/>
        </w:rPr>
      </w:pPr>
      <w:r>
        <w:rPr>
          <w:rFonts w:ascii="Arial" w:hAnsi="Arial" w:cs="Arial"/>
          <w:b/>
          <w:sz w:val="20"/>
          <w:szCs w:val="20"/>
        </w:rPr>
        <w:t xml:space="preserve">1. </w:t>
      </w:r>
      <w:r w:rsidR="0087668E">
        <w:rPr>
          <w:rFonts w:ascii="Arial" w:hAnsi="Arial" w:cs="Arial"/>
          <w:b/>
          <w:sz w:val="20"/>
          <w:szCs w:val="20"/>
        </w:rPr>
        <w:t>Prestação de Contas Anual. Imputações de débitos ao gestor por danos causados ao erário pelo recolhimento em atraso de contribuições devidas ao INSS. Contratação de empresa para realização de compensação previdenciária financeira. Parecer Prévio pela irregularidade das contas. Aplicação de sanções. Instauração de Tomada de Contas Extraordinária.</w:t>
      </w:r>
    </w:p>
    <w:p w:rsidR="00824136" w:rsidRDefault="00824136" w:rsidP="007A797E">
      <w:pPr>
        <w:spacing w:after="0"/>
        <w:jc w:val="both"/>
        <w:rPr>
          <w:rFonts w:ascii="Arial" w:hAnsi="Arial" w:cs="Arial"/>
          <w:sz w:val="20"/>
          <w:szCs w:val="20"/>
        </w:rPr>
      </w:pPr>
    </w:p>
    <w:p w:rsidR="0087668E" w:rsidRDefault="0087668E" w:rsidP="007A797E">
      <w:pPr>
        <w:spacing w:after="0"/>
        <w:jc w:val="both"/>
        <w:rPr>
          <w:rFonts w:ascii="Arial" w:hAnsi="Arial" w:cs="Arial"/>
          <w:sz w:val="20"/>
          <w:szCs w:val="20"/>
        </w:rPr>
      </w:pPr>
      <w:r>
        <w:rPr>
          <w:rFonts w:ascii="Arial" w:hAnsi="Arial" w:cs="Arial"/>
          <w:sz w:val="20"/>
          <w:szCs w:val="20"/>
        </w:rPr>
        <w:t xml:space="preserve">A análise técnica da prestação de contas anual do Município de Ariranha do Ivaí detectou a existência de um auto de infração da Receita Federal relacionada ao atraso no pagamento das contribuições previdenciárias patronais no INSS, assim como, o parcelamento do respectivo débito, realizado pela empresa </w:t>
      </w:r>
      <w:proofErr w:type="spellStart"/>
      <w:r>
        <w:rPr>
          <w:rFonts w:ascii="Arial" w:hAnsi="Arial" w:cs="Arial"/>
          <w:sz w:val="20"/>
          <w:szCs w:val="20"/>
        </w:rPr>
        <w:t>M.L.Constantino</w:t>
      </w:r>
      <w:proofErr w:type="spellEnd"/>
      <w:r>
        <w:rPr>
          <w:rFonts w:ascii="Arial" w:hAnsi="Arial" w:cs="Arial"/>
          <w:sz w:val="20"/>
          <w:szCs w:val="20"/>
        </w:rPr>
        <w:t xml:space="preserve">, não homologado pela autarquia previdenciária federal. </w:t>
      </w:r>
    </w:p>
    <w:p w:rsidR="00AD4CAC" w:rsidRDefault="00AD4CAC" w:rsidP="007A797E">
      <w:pPr>
        <w:spacing w:after="0"/>
        <w:jc w:val="both"/>
        <w:rPr>
          <w:rFonts w:ascii="Arial" w:hAnsi="Arial" w:cs="Arial"/>
          <w:sz w:val="20"/>
          <w:szCs w:val="20"/>
        </w:rPr>
      </w:pPr>
    </w:p>
    <w:p w:rsidR="0087668E" w:rsidRDefault="0087668E" w:rsidP="007A797E">
      <w:pPr>
        <w:spacing w:after="0"/>
        <w:jc w:val="both"/>
        <w:rPr>
          <w:rFonts w:ascii="Arial" w:hAnsi="Arial" w:cs="Arial"/>
          <w:sz w:val="20"/>
          <w:szCs w:val="20"/>
        </w:rPr>
      </w:pPr>
      <w:r>
        <w:rPr>
          <w:rFonts w:ascii="Arial" w:hAnsi="Arial" w:cs="Arial"/>
          <w:sz w:val="20"/>
          <w:szCs w:val="20"/>
        </w:rPr>
        <w:t>A falta do cumprimento das obrigações de aportes financeiros aos fundos de previdência contraria os artigos 6º e 7º da Lei nº 9</w:t>
      </w:r>
      <w:r w:rsidR="00AD4CAC">
        <w:rPr>
          <w:rFonts w:ascii="Arial" w:hAnsi="Arial" w:cs="Arial"/>
          <w:sz w:val="20"/>
          <w:szCs w:val="20"/>
        </w:rPr>
        <w:t>.</w:t>
      </w:r>
      <w:r>
        <w:rPr>
          <w:rFonts w:ascii="Arial" w:hAnsi="Arial" w:cs="Arial"/>
          <w:sz w:val="20"/>
          <w:szCs w:val="20"/>
        </w:rPr>
        <w:t xml:space="preserve">717/98, que preveem a estruturação dos fundos municipais de previdência e o cumprimento das obrigações financeiras da entidade patrocinadora. Mesmo diante do </w:t>
      </w:r>
      <w:r w:rsidRPr="00AD4CAC">
        <w:rPr>
          <w:rFonts w:ascii="Arial" w:hAnsi="Arial" w:cs="Arial"/>
          <w:i/>
          <w:sz w:val="20"/>
          <w:szCs w:val="20"/>
        </w:rPr>
        <w:t>déficit</w:t>
      </w:r>
      <w:r>
        <w:rPr>
          <w:rFonts w:ascii="Arial" w:hAnsi="Arial" w:cs="Arial"/>
          <w:sz w:val="20"/>
          <w:szCs w:val="20"/>
        </w:rPr>
        <w:t xml:space="preserve"> apontado, não houve a apresentação de um plano de amortização conforme previsto nos artigos 18 e 19 da Portaria MDS nº 403/2008.</w:t>
      </w:r>
    </w:p>
    <w:p w:rsidR="007A797E" w:rsidRDefault="007A797E" w:rsidP="007A797E">
      <w:pPr>
        <w:spacing w:after="0"/>
        <w:jc w:val="both"/>
        <w:rPr>
          <w:rFonts w:ascii="Arial" w:hAnsi="Arial" w:cs="Arial"/>
          <w:sz w:val="20"/>
          <w:szCs w:val="20"/>
        </w:rPr>
      </w:pPr>
    </w:p>
    <w:p w:rsidR="00824136" w:rsidRDefault="0087668E" w:rsidP="007A797E">
      <w:pPr>
        <w:spacing w:after="0"/>
        <w:jc w:val="both"/>
        <w:rPr>
          <w:rFonts w:ascii="Arial" w:hAnsi="Arial" w:cs="Arial"/>
          <w:sz w:val="20"/>
          <w:szCs w:val="20"/>
        </w:rPr>
      </w:pPr>
      <w:r>
        <w:rPr>
          <w:rFonts w:ascii="Arial" w:hAnsi="Arial" w:cs="Arial"/>
          <w:sz w:val="20"/>
          <w:szCs w:val="20"/>
        </w:rPr>
        <w:t xml:space="preserve">O pagamento parcelado dos débitos nos meses de janeiro e fevereiro de 2013 resultou em encargos, os quais são de responsabilidade do gestor, independentemente da contratação ou não de empresa terceirizada para a realização da compensação das contribuições. </w:t>
      </w:r>
    </w:p>
    <w:p w:rsidR="00824136" w:rsidRDefault="00824136" w:rsidP="007A797E">
      <w:pPr>
        <w:spacing w:after="0"/>
        <w:jc w:val="both"/>
        <w:rPr>
          <w:rFonts w:ascii="Arial" w:hAnsi="Arial" w:cs="Arial"/>
          <w:sz w:val="20"/>
          <w:szCs w:val="20"/>
        </w:rPr>
      </w:pPr>
    </w:p>
    <w:p w:rsidR="0087668E" w:rsidRDefault="0087668E" w:rsidP="007A797E">
      <w:pPr>
        <w:spacing w:after="0"/>
        <w:jc w:val="both"/>
        <w:rPr>
          <w:rFonts w:ascii="Arial" w:hAnsi="Arial" w:cs="Arial"/>
          <w:sz w:val="20"/>
          <w:szCs w:val="20"/>
        </w:rPr>
      </w:pPr>
      <w:r>
        <w:rPr>
          <w:rFonts w:ascii="Arial" w:hAnsi="Arial" w:cs="Arial"/>
          <w:sz w:val="20"/>
          <w:szCs w:val="20"/>
        </w:rPr>
        <w:t xml:space="preserve">Parecer Prévio pela irregularidade das contas com instauração de Tomada de Contas Extraordinária para apuração dos danos. </w:t>
      </w:r>
    </w:p>
    <w:p w:rsidR="001F7A25" w:rsidRDefault="001F7A25" w:rsidP="007A797E">
      <w:pPr>
        <w:spacing w:after="0"/>
        <w:jc w:val="both"/>
        <w:rPr>
          <w:rFonts w:ascii="Arial" w:hAnsi="Arial" w:cs="Arial"/>
          <w:sz w:val="20"/>
          <w:szCs w:val="20"/>
        </w:rPr>
      </w:pPr>
    </w:p>
    <w:p w:rsidR="0087668E" w:rsidRDefault="0087668E" w:rsidP="007A797E">
      <w:pPr>
        <w:spacing w:after="0"/>
        <w:jc w:val="both"/>
        <w:rPr>
          <w:rFonts w:ascii="Arial" w:hAnsi="Arial" w:cs="Arial"/>
          <w:sz w:val="20"/>
          <w:szCs w:val="20"/>
        </w:rPr>
      </w:pPr>
      <w:r>
        <w:rPr>
          <w:rFonts w:ascii="Arial" w:hAnsi="Arial" w:cs="Arial"/>
          <w:sz w:val="20"/>
          <w:szCs w:val="20"/>
        </w:rPr>
        <w:t xml:space="preserve">Processo nº 271311/14 </w:t>
      </w:r>
      <w:r w:rsidR="001F7A25">
        <w:rPr>
          <w:rFonts w:ascii="Arial" w:hAnsi="Arial" w:cs="Arial"/>
          <w:sz w:val="20"/>
          <w:szCs w:val="20"/>
        </w:rPr>
        <w:t>-</w:t>
      </w:r>
      <w:r>
        <w:rPr>
          <w:rFonts w:ascii="Arial" w:hAnsi="Arial" w:cs="Arial"/>
          <w:sz w:val="20"/>
          <w:szCs w:val="20"/>
        </w:rPr>
        <w:t xml:space="preserve"> </w:t>
      </w:r>
      <w:hyperlink r:id="rId8" w:history="1">
        <w:r w:rsidRPr="00020F52">
          <w:rPr>
            <w:rStyle w:val="Hyperlink"/>
            <w:rFonts w:ascii="Arial" w:hAnsi="Arial" w:cs="Arial"/>
            <w:sz w:val="20"/>
            <w:szCs w:val="20"/>
          </w:rPr>
          <w:t>Acórdão de Parecer Prévio nº 107/17</w:t>
        </w:r>
        <w:r w:rsidR="001F7A25">
          <w:rPr>
            <w:rStyle w:val="Hyperlink"/>
            <w:rFonts w:ascii="Arial" w:hAnsi="Arial" w:cs="Arial"/>
            <w:sz w:val="20"/>
            <w:szCs w:val="20"/>
          </w:rPr>
          <w:t xml:space="preserve"> </w:t>
        </w:r>
        <w:r w:rsidRPr="00020F52">
          <w:rPr>
            <w:rStyle w:val="Hyperlink"/>
            <w:rFonts w:ascii="Arial" w:hAnsi="Arial" w:cs="Arial"/>
            <w:sz w:val="20"/>
            <w:szCs w:val="20"/>
          </w:rPr>
          <w:t>-</w:t>
        </w:r>
        <w:r w:rsidR="001F7A25">
          <w:rPr>
            <w:rStyle w:val="Hyperlink"/>
            <w:rFonts w:ascii="Arial" w:hAnsi="Arial" w:cs="Arial"/>
            <w:sz w:val="20"/>
            <w:szCs w:val="20"/>
          </w:rPr>
          <w:t xml:space="preserve"> Primeira </w:t>
        </w:r>
        <w:r w:rsidRPr="00020F52">
          <w:rPr>
            <w:rStyle w:val="Hyperlink"/>
            <w:rFonts w:ascii="Arial" w:hAnsi="Arial" w:cs="Arial"/>
            <w:sz w:val="20"/>
            <w:szCs w:val="20"/>
          </w:rPr>
          <w:t>Câmara</w:t>
        </w:r>
      </w:hyperlink>
      <w:r w:rsidR="001F7A25">
        <w:rPr>
          <w:rStyle w:val="Hyperlink"/>
          <w:rFonts w:ascii="Arial" w:hAnsi="Arial" w:cs="Arial"/>
          <w:sz w:val="20"/>
          <w:szCs w:val="20"/>
        </w:rPr>
        <w:t xml:space="preserve"> -</w:t>
      </w:r>
      <w:r>
        <w:rPr>
          <w:rFonts w:ascii="Arial" w:hAnsi="Arial" w:cs="Arial"/>
          <w:sz w:val="20"/>
          <w:szCs w:val="20"/>
        </w:rPr>
        <w:t xml:space="preserve"> Rel. Conselheiro Nestor Baptista. </w:t>
      </w:r>
    </w:p>
    <w:p w:rsidR="001F7A25" w:rsidRDefault="001F7A25" w:rsidP="007A797E">
      <w:pPr>
        <w:spacing w:after="0"/>
        <w:jc w:val="both"/>
        <w:rPr>
          <w:rFonts w:ascii="Arial" w:hAnsi="Arial" w:cs="Arial"/>
          <w:b/>
          <w:sz w:val="20"/>
          <w:szCs w:val="20"/>
        </w:rPr>
      </w:pPr>
    </w:p>
    <w:p w:rsidR="00824136" w:rsidRDefault="001F7A25" w:rsidP="007A797E">
      <w:pPr>
        <w:spacing w:after="0"/>
        <w:jc w:val="both"/>
        <w:rPr>
          <w:rFonts w:ascii="Arial" w:hAnsi="Arial" w:cs="Arial"/>
          <w:b/>
          <w:sz w:val="20"/>
          <w:szCs w:val="20"/>
        </w:rPr>
      </w:pPr>
      <w:r>
        <w:rPr>
          <w:rFonts w:ascii="Arial" w:hAnsi="Arial" w:cs="Arial"/>
          <w:b/>
          <w:sz w:val="20"/>
          <w:szCs w:val="20"/>
        </w:rPr>
        <w:t xml:space="preserve">2. </w:t>
      </w:r>
      <w:r w:rsidR="0087668E" w:rsidRPr="00054F30">
        <w:rPr>
          <w:rFonts w:ascii="Arial" w:hAnsi="Arial" w:cs="Arial"/>
          <w:b/>
          <w:sz w:val="20"/>
          <w:szCs w:val="20"/>
        </w:rPr>
        <w:t>Admissão de pessoal. Lei Municipal nº 986/1997 declarada inconstitucional e certame anulado pelo Poder Judiciário. Negativa de registro com instauração de Tomada de Contas Extraordinária para apuração de ilegalidade e dano ao erário.</w:t>
      </w:r>
    </w:p>
    <w:p w:rsidR="0087668E" w:rsidRDefault="0087668E" w:rsidP="007A797E">
      <w:pPr>
        <w:spacing w:after="0"/>
        <w:jc w:val="both"/>
        <w:rPr>
          <w:rFonts w:ascii="Arial" w:hAnsi="Arial" w:cs="Arial"/>
          <w:b/>
          <w:sz w:val="20"/>
          <w:szCs w:val="20"/>
        </w:rPr>
      </w:pPr>
      <w:r w:rsidRPr="00054F30">
        <w:rPr>
          <w:rFonts w:ascii="Arial" w:hAnsi="Arial" w:cs="Arial"/>
          <w:b/>
          <w:sz w:val="20"/>
          <w:szCs w:val="20"/>
        </w:rPr>
        <w:t xml:space="preserve"> </w:t>
      </w:r>
    </w:p>
    <w:p w:rsidR="0087668E" w:rsidRDefault="0087668E" w:rsidP="007A797E">
      <w:pPr>
        <w:spacing w:after="0"/>
        <w:jc w:val="both"/>
        <w:rPr>
          <w:rFonts w:ascii="Arial" w:hAnsi="Arial" w:cs="Arial"/>
          <w:sz w:val="20"/>
          <w:szCs w:val="20"/>
        </w:rPr>
      </w:pPr>
      <w:r>
        <w:rPr>
          <w:rFonts w:ascii="Arial" w:hAnsi="Arial" w:cs="Arial"/>
          <w:sz w:val="20"/>
          <w:szCs w:val="20"/>
        </w:rPr>
        <w:t xml:space="preserve">Teste seletivo realizado por Município para contratação temporária para atendimento de necessidade pública excepcional foi declarado nulo por decisão judicial na qual se apontou a inconstitucionalidade formal da lei municipal que autorizara o certame. O cumprimento da ordem judicial implicou no afastamento, mediante exoneração, dos servidores que haviam sido contratados. O Ministério Público de Contas, cujo parecer foi parcialmente acolhido no presente julgado, pugnou pela negativa de registro das admissões, uma vez que as mesmas ocorreram ainda que por curto espaço de tempo.  </w:t>
      </w:r>
    </w:p>
    <w:p w:rsidR="00824136" w:rsidRDefault="00824136" w:rsidP="007A797E">
      <w:pPr>
        <w:spacing w:after="0"/>
        <w:jc w:val="both"/>
        <w:rPr>
          <w:rFonts w:ascii="Arial" w:hAnsi="Arial" w:cs="Arial"/>
          <w:sz w:val="20"/>
          <w:szCs w:val="20"/>
        </w:rPr>
      </w:pPr>
    </w:p>
    <w:p w:rsidR="0087668E" w:rsidRDefault="0087668E" w:rsidP="007A797E">
      <w:pPr>
        <w:spacing w:after="0"/>
        <w:jc w:val="both"/>
        <w:rPr>
          <w:rFonts w:ascii="Arial" w:hAnsi="Arial" w:cs="Arial"/>
          <w:sz w:val="20"/>
          <w:szCs w:val="20"/>
        </w:rPr>
      </w:pPr>
      <w:r>
        <w:rPr>
          <w:rFonts w:ascii="Arial" w:hAnsi="Arial" w:cs="Arial"/>
          <w:sz w:val="20"/>
          <w:szCs w:val="20"/>
        </w:rPr>
        <w:t xml:space="preserve">Destas contratações decorreram efeitos, defendeu o MPC, tais como, gastos decorrentes da própria realização do Teste Seletivo viciado, valores despendidos pelos candidatos a título de </w:t>
      </w:r>
      <w:r>
        <w:rPr>
          <w:rFonts w:ascii="Arial" w:hAnsi="Arial" w:cs="Arial"/>
          <w:sz w:val="20"/>
          <w:szCs w:val="20"/>
        </w:rPr>
        <w:lastRenderedPageBreak/>
        <w:t xml:space="preserve">taxa de inscrição, os quais deverão ser devidamente ressarcidos aos interessados, pagamento de custas e honorários advocatícios suportados pelo Município na ação judicial que decretou a nulidade do certame, pagamentos efetuados aos profissionais contratados, que exerceram as funções como se servidores públicos fossem. </w:t>
      </w:r>
    </w:p>
    <w:p w:rsidR="00824136" w:rsidRDefault="00824136" w:rsidP="007A797E">
      <w:pPr>
        <w:spacing w:after="0"/>
        <w:jc w:val="both"/>
        <w:rPr>
          <w:rFonts w:ascii="Arial" w:hAnsi="Arial" w:cs="Arial"/>
          <w:sz w:val="20"/>
          <w:szCs w:val="20"/>
        </w:rPr>
      </w:pPr>
    </w:p>
    <w:p w:rsidR="0087668E" w:rsidRDefault="0087668E" w:rsidP="007A797E">
      <w:pPr>
        <w:spacing w:after="0"/>
        <w:jc w:val="both"/>
        <w:rPr>
          <w:rFonts w:ascii="Arial" w:hAnsi="Arial" w:cs="Arial"/>
          <w:sz w:val="20"/>
          <w:szCs w:val="20"/>
        </w:rPr>
      </w:pPr>
      <w:r>
        <w:rPr>
          <w:rFonts w:ascii="Arial" w:hAnsi="Arial" w:cs="Arial"/>
          <w:sz w:val="20"/>
          <w:szCs w:val="20"/>
        </w:rPr>
        <w:t xml:space="preserve">Na decisão, o Colegiado desta Corte entendeu, então, que a situação ocasionada pela nulidade do certame impõe que se proceda à apuração da responsabilidade do gestor por meio de Tomada de Contas Extraordinária, considerando-se que nos autos de Admissão de Pessoal não se vislumbram indícios de que as contratações foram efetuadas fora das hipóteses autorizadas pelo gestor, que presumia constitucional a Lei Municipal local. </w:t>
      </w:r>
    </w:p>
    <w:p w:rsidR="001F7A25" w:rsidRDefault="001F7A25" w:rsidP="007A797E">
      <w:pPr>
        <w:spacing w:after="0"/>
        <w:jc w:val="both"/>
        <w:rPr>
          <w:rFonts w:ascii="Arial" w:hAnsi="Arial" w:cs="Arial"/>
          <w:sz w:val="20"/>
          <w:szCs w:val="20"/>
        </w:rPr>
      </w:pPr>
    </w:p>
    <w:p w:rsidR="0087668E" w:rsidRDefault="0087668E" w:rsidP="007A797E">
      <w:pPr>
        <w:spacing w:after="0"/>
        <w:jc w:val="both"/>
        <w:rPr>
          <w:rFonts w:ascii="Arial" w:hAnsi="Arial" w:cs="Arial"/>
          <w:sz w:val="20"/>
          <w:szCs w:val="20"/>
        </w:rPr>
      </w:pPr>
      <w:r>
        <w:rPr>
          <w:rFonts w:ascii="Arial" w:hAnsi="Arial" w:cs="Arial"/>
          <w:sz w:val="20"/>
          <w:szCs w:val="20"/>
        </w:rPr>
        <w:t xml:space="preserve">Processo nº 432244/09 </w:t>
      </w:r>
      <w:r w:rsidR="001F7A25">
        <w:rPr>
          <w:rFonts w:ascii="Arial" w:hAnsi="Arial" w:cs="Arial"/>
          <w:sz w:val="20"/>
          <w:szCs w:val="20"/>
        </w:rPr>
        <w:t>-</w:t>
      </w:r>
      <w:r>
        <w:rPr>
          <w:rFonts w:ascii="Arial" w:hAnsi="Arial" w:cs="Arial"/>
          <w:sz w:val="20"/>
          <w:szCs w:val="20"/>
        </w:rPr>
        <w:t xml:space="preserve"> </w:t>
      </w:r>
      <w:hyperlink r:id="rId9" w:history="1">
        <w:r w:rsidRPr="00020F52">
          <w:rPr>
            <w:rStyle w:val="Hyperlink"/>
            <w:rFonts w:ascii="Arial" w:hAnsi="Arial" w:cs="Arial"/>
            <w:sz w:val="20"/>
            <w:szCs w:val="20"/>
          </w:rPr>
          <w:t>Acórdão nº 1306/17-</w:t>
        </w:r>
        <w:r w:rsidR="001F7A25">
          <w:rPr>
            <w:rStyle w:val="Hyperlink"/>
            <w:rFonts w:ascii="Arial" w:hAnsi="Arial" w:cs="Arial"/>
            <w:sz w:val="20"/>
            <w:szCs w:val="20"/>
          </w:rPr>
          <w:t xml:space="preserve"> Primeira </w:t>
        </w:r>
        <w:r w:rsidRPr="00020F52">
          <w:rPr>
            <w:rStyle w:val="Hyperlink"/>
            <w:rFonts w:ascii="Arial" w:hAnsi="Arial" w:cs="Arial"/>
            <w:sz w:val="20"/>
            <w:szCs w:val="20"/>
          </w:rPr>
          <w:t>Câmara</w:t>
        </w:r>
      </w:hyperlink>
      <w:r>
        <w:rPr>
          <w:rFonts w:ascii="Arial" w:hAnsi="Arial" w:cs="Arial"/>
          <w:sz w:val="20"/>
          <w:szCs w:val="20"/>
        </w:rPr>
        <w:t xml:space="preserve"> </w:t>
      </w:r>
      <w:r w:rsidR="001F7A25">
        <w:rPr>
          <w:rFonts w:ascii="Arial" w:hAnsi="Arial" w:cs="Arial"/>
          <w:sz w:val="20"/>
          <w:szCs w:val="20"/>
        </w:rPr>
        <w:t>-</w:t>
      </w:r>
      <w:r>
        <w:rPr>
          <w:rFonts w:ascii="Arial" w:hAnsi="Arial" w:cs="Arial"/>
          <w:sz w:val="20"/>
          <w:szCs w:val="20"/>
        </w:rPr>
        <w:t xml:space="preserve"> Rel. Auditor Sérgio Ricardo Valadares Fonseca. </w:t>
      </w:r>
    </w:p>
    <w:p w:rsidR="001F7A25" w:rsidRDefault="001F7A25" w:rsidP="007A797E">
      <w:pPr>
        <w:spacing w:after="0"/>
        <w:jc w:val="both"/>
        <w:rPr>
          <w:rFonts w:ascii="Arial" w:hAnsi="Arial" w:cs="Arial"/>
          <w:b/>
          <w:sz w:val="20"/>
          <w:szCs w:val="20"/>
        </w:rPr>
      </w:pPr>
    </w:p>
    <w:p w:rsidR="0087668E" w:rsidRDefault="001F7A25" w:rsidP="007A797E">
      <w:pPr>
        <w:spacing w:after="0"/>
        <w:jc w:val="both"/>
        <w:rPr>
          <w:rFonts w:ascii="Arial" w:hAnsi="Arial" w:cs="Arial"/>
          <w:b/>
          <w:sz w:val="20"/>
          <w:szCs w:val="20"/>
        </w:rPr>
      </w:pPr>
      <w:r>
        <w:rPr>
          <w:rFonts w:ascii="Arial" w:hAnsi="Arial" w:cs="Arial"/>
          <w:b/>
          <w:sz w:val="20"/>
          <w:szCs w:val="20"/>
        </w:rPr>
        <w:t>3.</w:t>
      </w:r>
      <w:r w:rsidR="0087668E" w:rsidRPr="00BB2B3A">
        <w:rPr>
          <w:rFonts w:ascii="Arial" w:hAnsi="Arial" w:cs="Arial"/>
          <w:b/>
          <w:sz w:val="20"/>
          <w:szCs w:val="20"/>
        </w:rPr>
        <w:t xml:space="preserve"> Aposentadoria municipal. Cálculo de verbas sazonais e inobservância do art. 37, XII da CF/88. Superveniência de lei municipal disciplinando a incidência de contribuição previdenciária sobre as gratificações. Incorporação proporcional das verbas transitórias. Princípio contributivo. Legalidade e registro. </w:t>
      </w:r>
    </w:p>
    <w:p w:rsidR="00824136" w:rsidRDefault="00824136" w:rsidP="007A797E">
      <w:pPr>
        <w:spacing w:after="0"/>
        <w:jc w:val="both"/>
        <w:rPr>
          <w:rFonts w:ascii="Arial" w:hAnsi="Arial" w:cs="Arial"/>
          <w:sz w:val="20"/>
          <w:szCs w:val="20"/>
        </w:rPr>
      </w:pPr>
    </w:p>
    <w:p w:rsidR="0087668E" w:rsidRPr="00453EB1" w:rsidRDefault="0087668E" w:rsidP="007A797E">
      <w:pPr>
        <w:spacing w:after="0"/>
        <w:jc w:val="both"/>
        <w:rPr>
          <w:rFonts w:ascii="Arial" w:hAnsi="Arial" w:cs="Arial"/>
          <w:sz w:val="20"/>
          <w:szCs w:val="20"/>
        </w:rPr>
      </w:pPr>
      <w:r>
        <w:rPr>
          <w:rFonts w:ascii="Arial" w:hAnsi="Arial" w:cs="Arial"/>
          <w:sz w:val="20"/>
          <w:szCs w:val="20"/>
        </w:rPr>
        <w:t xml:space="preserve">Servidor do Poder Legislativo Municipal teve incorporado em seus proventos vantagens de natureza transitória, sobre as quais houve a incidência de contribuição previdenciária, nos termos de lei municipal. </w:t>
      </w:r>
    </w:p>
    <w:p w:rsidR="00824136" w:rsidRDefault="00824136" w:rsidP="007A797E">
      <w:pPr>
        <w:spacing w:after="0"/>
        <w:jc w:val="both"/>
        <w:rPr>
          <w:rFonts w:ascii="Arial" w:hAnsi="Arial" w:cs="Arial"/>
          <w:sz w:val="20"/>
          <w:szCs w:val="20"/>
        </w:rPr>
      </w:pPr>
    </w:p>
    <w:p w:rsidR="0087668E" w:rsidRDefault="0087668E" w:rsidP="007A797E">
      <w:pPr>
        <w:spacing w:after="0"/>
        <w:jc w:val="both"/>
        <w:rPr>
          <w:rFonts w:ascii="Arial" w:hAnsi="Arial" w:cs="Arial"/>
          <w:sz w:val="20"/>
          <w:szCs w:val="20"/>
        </w:rPr>
      </w:pPr>
      <w:r>
        <w:rPr>
          <w:rFonts w:ascii="Arial" w:hAnsi="Arial" w:cs="Arial"/>
          <w:sz w:val="20"/>
          <w:szCs w:val="20"/>
        </w:rPr>
        <w:t xml:space="preserve">Consoante defendido pela Coordenadoria de Fiscalização de Atos de Pessoal </w:t>
      </w:r>
      <w:r w:rsidR="00113EF1">
        <w:rPr>
          <w:rFonts w:ascii="Arial" w:hAnsi="Arial" w:cs="Arial"/>
          <w:sz w:val="20"/>
          <w:szCs w:val="20"/>
        </w:rPr>
        <w:t>-</w:t>
      </w:r>
      <w:r>
        <w:rPr>
          <w:rFonts w:ascii="Arial" w:hAnsi="Arial" w:cs="Arial"/>
          <w:sz w:val="20"/>
          <w:szCs w:val="20"/>
        </w:rPr>
        <w:t xml:space="preserve"> COFAP, em pronunciamento acolhido na decisão, negar registro à inativação do servidor seria não só uma injustiça, como um completo desrespeito às normas previdenciárias postas no ordenamento. É incontroverso que o servidor contribuiu sobre a remuneração que recebeu e retirar-lhe o registro da aposentadoria seria negar-lhe um direito reconhecido pela Constituição para o qual contribuiu em cargo e em carreira sobre a qual não teve ingerência depois que adentrou ao serviço público.</w:t>
      </w:r>
    </w:p>
    <w:p w:rsidR="00824136" w:rsidRDefault="00824136" w:rsidP="007A797E">
      <w:pPr>
        <w:spacing w:after="0"/>
        <w:jc w:val="both"/>
        <w:rPr>
          <w:rFonts w:ascii="Arial" w:hAnsi="Arial" w:cs="Arial"/>
          <w:sz w:val="20"/>
          <w:szCs w:val="20"/>
        </w:rPr>
      </w:pPr>
    </w:p>
    <w:p w:rsidR="0087668E" w:rsidRDefault="0087668E" w:rsidP="007A797E">
      <w:pPr>
        <w:spacing w:after="0"/>
        <w:jc w:val="both"/>
        <w:rPr>
          <w:rFonts w:ascii="Arial" w:hAnsi="Arial" w:cs="Arial"/>
          <w:sz w:val="20"/>
          <w:szCs w:val="20"/>
        </w:rPr>
      </w:pPr>
      <w:r>
        <w:rPr>
          <w:rFonts w:ascii="Arial" w:hAnsi="Arial" w:cs="Arial"/>
          <w:sz w:val="20"/>
          <w:szCs w:val="20"/>
        </w:rPr>
        <w:t xml:space="preserve">A presente decisão, então, diante da superveniência da legislação municipal </w:t>
      </w:r>
      <w:proofErr w:type="spellStart"/>
      <w:r>
        <w:rPr>
          <w:rFonts w:ascii="Arial" w:hAnsi="Arial" w:cs="Arial"/>
          <w:sz w:val="20"/>
          <w:szCs w:val="20"/>
        </w:rPr>
        <w:t>autorizatória</w:t>
      </w:r>
      <w:proofErr w:type="spellEnd"/>
      <w:r>
        <w:rPr>
          <w:rFonts w:ascii="Arial" w:hAnsi="Arial" w:cs="Arial"/>
          <w:sz w:val="20"/>
          <w:szCs w:val="20"/>
        </w:rPr>
        <w:t xml:space="preserve"> da incorporação aos proventos, considerou legal a aposentadoria. </w:t>
      </w:r>
    </w:p>
    <w:p w:rsidR="001F7A25" w:rsidRDefault="001F7A25" w:rsidP="007A797E">
      <w:pPr>
        <w:spacing w:after="0"/>
        <w:jc w:val="both"/>
        <w:rPr>
          <w:rFonts w:ascii="Arial" w:hAnsi="Arial" w:cs="Arial"/>
          <w:sz w:val="20"/>
          <w:szCs w:val="20"/>
        </w:rPr>
      </w:pPr>
    </w:p>
    <w:p w:rsidR="0087668E" w:rsidRDefault="0087668E" w:rsidP="007A797E">
      <w:pPr>
        <w:spacing w:after="0"/>
        <w:jc w:val="both"/>
        <w:rPr>
          <w:rFonts w:ascii="Arial" w:hAnsi="Arial" w:cs="Arial"/>
          <w:sz w:val="20"/>
          <w:szCs w:val="20"/>
        </w:rPr>
      </w:pPr>
      <w:r>
        <w:rPr>
          <w:rFonts w:ascii="Arial" w:hAnsi="Arial" w:cs="Arial"/>
          <w:sz w:val="20"/>
          <w:szCs w:val="20"/>
        </w:rPr>
        <w:t xml:space="preserve">Processo nº 342460/13 </w:t>
      </w:r>
      <w:r w:rsidR="001F7A25">
        <w:rPr>
          <w:rFonts w:ascii="Arial" w:hAnsi="Arial" w:cs="Arial"/>
          <w:sz w:val="20"/>
          <w:szCs w:val="20"/>
        </w:rPr>
        <w:t>-</w:t>
      </w:r>
      <w:r>
        <w:rPr>
          <w:rFonts w:ascii="Arial" w:hAnsi="Arial" w:cs="Arial"/>
          <w:sz w:val="20"/>
          <w:szCs w:val="20"/>
        </w:rPr>
        <w:t xml:space="preserve"> </w:t>
      </w:r>
      <w:hyperlink r:id="rId10" w:history="1">
        <w:r w:rsidRPr="00373E6B">
          <w:rPr>
            <w:rStyle w:val="Hyperlink"/>
            <w:rFonts w:ascii="Arial" w:hAnsi="Arial" w:cs="Arial"/>
            <w:sz w:val="20"/>
            <w:szCs w:val="20"/>
          </w:rPr>
          <w:t xml:space="preserve">Acórdão nº 1284/17 </w:t>
        </w:r>
        <w:r w:rsidR="001F7A25">
          <w:rPr>
            <w:rStyle w:val="Hyperlink"/>
            <w:rFonts w:ascii="Arial" w:hAnsi="Arial" w:cs="Arial"/>
            <w:sz w:val="20"/>
            <w:szCs w:val="20"/>
          </w:rPr>
          <w:t>-</w:t>
        </w:r>
        <w:r w:rsidRPr="00373E6B">
          <w:rPr>
            <w:rStyle w:val="Hyperlink"/>
            <w:rFonts w:ascii="Arial" w:hAnsi="Arial" w:cs="Arial"/>
            <w:sz w:val="20"/>
            <w:szCs w:val="20"/>
          </w:rPr>
          <w:t xml:space="preserve"> </w:t>
        </w:r>
        <w:r w:rsidR="001F7A25">
          <w:rPr>
            <w:rStyle w:val="Hyperlink"/>
            <w:rFonts w:ascii="Arial" w:hAnsi="Arial" w:cs="Arial"/>
            <w:sz w:val="20"/>
            <w:szCs w:val="20"/>
          </w:rPr>
          <w:t xml:space="preserve">Primeira </w:t>
        </w:r>
        <w:r w:rsidRPr="00373E6B">
          <w:rPr>
            <w:rStyle w:val="Hyperlink"/>
            <w:rFonts w:ascii="Arial" w:hAnsi="Arial" w:cs="Arial"/>
            <w:sz w:val="20"/>
            <w:szCs w:val="20"/>
          </w:rPr>
          <w:t>Câmara</w:t>
        </w:r>
      </w:hyperlink>
      <w:r>
        <w:rPr>
          <w:rFonts w:ascii="Arial" w:hAnsi="Arial" w:cs="Arial"/>
          <w:sz w:val="20"/>
          <w:szCs w:val="20"/>
        </w:rPr>
        <w:t xml:space="preserve"> </w:t>
      </w:r>
      <w:r w:rsidR="001F7A25">
        <w:rPr>
          <w:rFonts w:ascii="Arial" w:hAnsi="Arial" w:cs="Arial"/>
          <w:sz w:val="20"/>
          <w:szCs w:val="20"/>
        </w:rPr>
        <w:t>-</w:t>
      </w:r>
      <w:r>
        <w:rPr>
          <w:rFonts w:ascii="Arial" w:hAnsi="Arial" w:cs="Arial"/>
          <w:sz w:val="20"/>
          <w:szCs w:val="20"/>
        </w:rPr>
        <w:t xml:space="preserve"> Rel. Auditor Sérgio Ricardo Valadares da Fonseca. </w:t>
      </w:r>
    </w:p>
    <w:p w:rsidR="001F7A25" w:rsidRDefault="001F7A25" w:rsidP="007A797E">
      <w:pPr>
        <w:spacing w:after="0"/>
        <w:jc w:val="both"/>
        <w:rPr>
          <w:rFonts w:ascii="Arial" w:hAnsi="Arial" w:cs="Arial"/>
          <w:b/>
          <w:sz w:val="20"/>
          <w:szCs w:val="20"/>
        </w:rPr>
      </w:pPr>
    </w:p>
    <w:p w:rsidR="0087668E" w:rsidRPr="00D009F9" w:rsidRDefault="001F7A25" w:rsidP="007A797E">
      <w:pPr>
        <w:spacing w:after="0"/>
        <w:jc w:val="both"/>
        <w:rPr>
          <w:rFonts w:ascii="Arial" w:hAnsi="Arial" w:cs="Arial"/>
          <w:b/>
          <w:sz w:val="20"/>
          <w:szCs w:val="20"/>
        </w:rPr>
      </w:pPr>
      <w:r>
        <w:rPr>
          <w:rFonts w:ascii="Arial" w:hAnsi="Arial" w:cs="Arial"/>
          <w:b/>
          <w:sz w:val="20"/>
          <w:szCs w:val="20"/>
        </w:rPr>
        <w:t xml:space="preserve">4. </w:t>
      </w:r>
      <w:r w:rsidR="0087668E" w:rsidRPr="00D009F9">
        <w:rPr>
          <w:rFonts w:ascii="Arial" w:hAnsi="Arial" w:cs="Arial"/>
          <w:b/>
          <w:sz w:val="20"/>
          <w:szCs w:val="20"/>
        </w:rPr>
        <w:t xml:space="preserve">Aposentadoria Municipal. Professor de Educação Infantil. Leis Municipais de Curitiba. Aplicação dos princípios da segurança jurídica, da proteção </w:t>
      </w:r>
      <w:bookmarkStart w:id="0" w:name="_GoBack"/>
      <w:bookmarkEnd w:id="0"/>
      <w:r w:rsidR="0087668E" w:rsidRPr="00D009F9">
        <w:rPr>
          <w:rFonts w:ascii="Arial" w:hAnsi="Arial" w:cs="Arial"/>
          <w:b/>
          <w:sz w:val="20"/>
          <w:szCs w:val="20"/>
        </w:rPr>
        <w:t xml:space="preserve">da confiança e da boa-fé. Registro do Ato de Admissão. </w:t>
      </w:r>
    </w:p>
    <w:p w:rsidR="00824136" w:rsidRDefault="00824136" w:rsidP="007A797E">
      <w:pPr>
        <w:spacing w:after="0"/>
        <w:jc w:val="both"/>
        <w:rPr>
          <w:rFonts w:ascii="Arial" w:hAnsi="Arial" w:cs="Arial"/>
          <w:sz w:val="20"/>
          <w:szCs w:val="20"/>
        </w:rPr>
      </w:pPr>
    </w:p>
    <w:p w:rsidR="0087668E" w:rsidRDefault="0087668E" w:rsidP="007A797E">
      <w:pPr>
        <w:spacing w:after="0"/>
        <w:jc w:val="both"/>
        <w:rPr>
          <w:rFonts w:ascii="Arial" w:hAnsi="Arial" w:cs="Arial"/>
          <w:sz w:val="20"/>
          <w:szCs w:val="20"/>
        </w:rPr>
      </w:pPr>
      <w:r>
        <w:rPr>
          <w:rFonts w:ascii="Arial" w:hAnsi="Arial" w:cs="Arial"/>
          <w:sz w:val="20"/>
          <w:szCs w:val="20"/>
        </w:rPr>
        <w:t xml:space="preserve">O Município de Curitiba por meio das Leis </w:t>
      </w:r>
      <w:proofErr w:type="spellStart"/>
      <w:r>
        <w:rPr>
          <w:rFonts w:ascii="Arial" w:hAnsi="Arial" w:cs="Arial"/>
          <w:sz w:val="20"/>
          <w:szCs w:val="20"/>
        </w:rPr>
        <w:t>nºs</w:t>
      </w:r>
      <w:proofErr w:type="spellEnd"/>
      <w:r>
        <w:rPr>
          <w:rFonts w:ascii="Arial" w:hAnsi="Arial" w:cs="Arial"/>
          <w:sz w:val="20"/>
          <w:szCs w:val="20"/>
        </w:rPr>
        <w:t xml:space="preserve"> 10.390/2002, 14.580/2014 e 14.581/2014, reestruturou as carreiras de alguns cargos públicos, alterando os requisitos de escolaridade e a sua denominação, mas sem alterações substanciais em suas atribuições. Tais alterações, portanto, n</w:t>
      </w:r>
      <w:r w:rsidR="00B33F79">
        <w:rPr>
          <w:rFonts w:ascii="Arial" w:hAnsi="Arial" w:cs="Arial"/>
          <w:sz w:val="20"/>
          <w:szCs w:val="20"/>
        </w:rPr>
        <w:t>ão podem ser comparadas à ascens</w:t>
      </w:r>
      <w:r>
        <w:rPr>
          <w:rFonts w:ascii="Arial" w:hAnsi="Arial" w:cs="Arial"/>
          <w:sz w:val="20"/>
          <w:szCs w:val="20"/>
        </w:rPr>
        <w:t xml:space="preserve">ão funcional ou burla à necessidade de concurso público. </w:t>
      </w:r>
    </w:p>
    <w:p w:rsidR="00824136" w:rsidRDefault="00824136" w:rsidP="007A797E">
      <w:pPr>
        <w:spacing w:after="0"/>
        <w:jc w:val="both"/>
        <w:rPr>
          <w:rFonts w:ascii="Arial" w:hAnsi="Arial" w:cs="Arial"/>
          <w:sz w:val="20"/>
          <w:szCs w:val="20"/>
        </w:rPr>
      </w:pPr>
    </w:p>
    <w:p w:rsidR="0087668E" w:rsidRDefault="0087668E" w:rsidP="007A797E">
      <w:pPr>
        <w:spacing w:after="0"/>
        <w:jc w:val="both"/>
        <w:rPr>
          <w:rFonts w:ascii="Arial" w:hAnsi="Arial" w:cs="Arial"/>
          <w:sz w:val="20"/>
          <w:szCs w:val="20"/>
        </w:rPr>
      </w:pPr>
      <w:r>
        <w:rPr>
          <w:rFonts w:ascii="Arial" w:hAnsi="Arial" w:cs="Arial"/>
          <w:sz w:val="20"/>
          <w:szCs w:val="20"/>
        </w:rPr>
        <w:lastRenderedPageBreak/>
        <w:t xml:space="preserve">Observe-se que a Lei nº 10.390/2002, foi editada há quase quinze anos, gerando desde então os seus efeitos. Durante todo esse tempo, a servidora em aposentação no presente processo, exerceu o cargo de Educador e posteriormente de Professor de Educação Infantil, recebendo os vencimentos correspondentes e contribuindo para o sistema previdenciário. </w:t>
      </w:r>
    </w:p>
    <w:p w:rsidR="00824136" w:rsidRDefault="00824136" w:rsidP="007A797E">
      <w:pPr>
        <w:spacing w:after="0"/>
        <w:jc w:val="both"/>
        <w:rPr>
          <w:rFonts w:ascii="Arial" w:hAnsi="Arial" w:cs="Arial"/>
          <w:sz w:val="20"/>
          <w:szCs w:val="20"/>
        </w:rPr>
      </w:pPr>
    </w:p>
    <w:p w:rsidR="0087668E" w:rsidRDefault="0087668E" w:rsidP="007A797E">
      <w:pPr>
        <w:spacing w:after="0"/>
        <w:jc w:val="both"/>
        <w:rPr>
          <w:rFonts w:ascii="Arial" w:hAnsi="Arial" w:cs="Arial"/>
          <w:sz w:val="20"/>
          <w:szCs w:val="20"/>
        </w:rPr>
      </w:pPr>
      <w:r>
        <w:rPr>
          <w:rFonts w:ascii="Arial" w:hAnsi="Arial" w:cs="Arial"/>
          <w:sz w:val="20"/>
          <w:szCs w:val="20"/>
        </w:rPr>
        <w:t xml:space="preserve">Sabidamente, os princípios da segurança e da proteção da confiança buscam garantir a exigibilidade de direito certo, estável e previsível, devidamente justificado e motivado com vistas à realização da justiça. O servidor deve confiar que os atos ou as decisões incidentes sobre os seus direitos e posições jurídicas sejam praticados de acordo com as normas jurídicas vigentes e tenham efeitos duradouros. </w:t>
      </w:r>
    </w:p>
    <w:p w:rsidR="00901036" w:rsidRDefault="00901036" w:rsidP="007A797E">
      <w:pPr>
        <w:spacing w:after="0"/>
        <w:jc w:val="both"/>
        <w:rPr>
          <w:rFonts w:ascii="Arial" w:hAnsi="Arial" w:cs="Arial"/>
          <w:sz w:val="20"/>
          <w:szCs w:val="20"/>
        </w:rPr>
      </w:pPr>
    </w:p>
    <w:p w:rsidR="0087668E" w:rsidRDefault="0087668E" w:rsidP="007A797E">
      <w:pPr>
        <w:spacing w:after="0"/>
        <w:jc w:val="both"/>
        <w:rPr>
          <w:rFonts w:ascii="Arial" w:hAnsi="Arial" w:cs="Arial"/>
          <w:sz w:val="20"/>
          <w:szCs w:val="20"/>
        </w:rPr>
      </w:pPr>
      <w:r>
        <w:rPr>
          <w:rFonts w:ascii="Arial" w:hAnsi="Arial" w:cs="Arial"/>
          <w:sz w:val="20"/>
          <w:szCs w:val="20"/>
        </w:rPr>
        <w:t xml:space="preserve">O Colegiado determinou o registro do ato de inativação da servidora no cargo de Professor de Educação Infantil, em atenção aos princípios da segurança jurídica, proteção da confiança e boa-fé. </w:t>
      </w:r>
    </w:p>
    <w:p w:rsidR="00824136" w:rsidRDefault="00824136" w:rsidP="007A797E">
      <w:pPr>
        <w:spacing w:after="0"/>
        <w:jc w:val="both"/>
        <w:rPr>
          <w:rFonts w:ascii="Arial" w:hAnsi="Arial" w:cs="Arial"/>
          <w:sz w:val="20"/>
          <w:szCs w:val="20"/>
        </w:rPr>
      </w:pPr>
    </w:p>
    <w:p w:rsidR="0087668E" w:rsidRDefault="0087668E" w:rsidP="007A797E">
      <w:pPr>
        <w:spacing w:after="0"/>
        <w:jc w:val="both"/>
        <w:rPr>
          <w:rFonts w:ascii="Arial" w:hAnsi="Arial" w:cs="Arial"/>
          <w:sz w:val="20"/>
          <w:szCs w:val="20"/>
        </w:rPr>
      </w:pPr>
      <w:r>
        <w:rPr>
          <w:rFonts w:ascii="Arial" w:hAnsi="Arial" w:cs="Arial"/>
          <w:sz w:val="20"/>
          <w:szCs w:val="20"/>
        </w:rPr>
        <w:t xml:space="preserve">Processo nº 278414/17 </w:t>
      </w:r>
      <w:r w:rsidR="000D357D">
        <w:rPr>
          <w:rFonts w:ascii="Arial" w:hAnsi="Arial" w:cs="Arial"/>
          <w:sz w:val="20"/>
          <w:szCs w:val="20"/>
        </w:rPr>
        <w:t>-</w:t>
      </w:r>
      <w:r>
        <w:rPr>
          <w:rFonts w:ascii="Arial" w:hAnsi="Arial" w:cs="Arial"/>
          <w:sz w:val="20"/>
          <w:szCs w:val="20"/>
        </w:rPr>
        <w:t xml:space="preserve"> </w:t>
      </w:r>
      <w:hyperlink r:id="rId11" w:history="1">
        <w:r w:rsidRPr="00163D40">
          <w:rPr>
            <w:rStyle w:val="Hyperlink"/>
            <w:rFonts w:ascii="Arial" w:hAnsi="Arial" w:cs="Arial"/>
            <w:sz w:val="20"/>
            <w:szCs w:val="20"/>
          </w:rPr>
          <w:t>Acórdão nº 1309/17</w:t>
        </w:r>
        <w:r w:rsidR="000D357D">
          <w:rPr>
            <w:rStyle w:val="Hyperlink"/>
            <w:rFonts w:ascii="Arial" w:hAnsi="Arial" w:cs="Arial"/>
            <w:sz w:val="20"/>
            <w:szCs w:val="20"/>
          </w:rPr>
          <w:t xml:space="preserve"> </w:t>
        </w:r>
        <w:r w:rsidRPr="00163D40">
          <w:rPr>
            <w:rStyle w:val="Hyperlink"/>
            <w:rFonts w:ascii="Arial" w:hAnsi="Arial" w:cs="Arial"/>
            <w:sz w:val="20"/>
            <w:szCs w:val="20"/>
          </w:rPr>
          <w:t>-</w:t>
        </w:r>
        <w:r w:rsidR="001F7A25">
          <w:rPr>
            <w:rStyle w:val="Hyperlink"/>
            <w:rFonts w:ascii="Arial" w:hAnsi="Arial" w:cs="Arial"/>
            <w:sz w:val="20"/>
            <w:szCs w:val="20"/>
          </w:rPr>
          <w:t xml:space="preserve"> Primeira </w:t>
        </w:r>
        <w:r w:rsidRPr="00163D40">
          <w:rPr>
            <w:rStyle w:val="Hyperlink"/>
            <w:rFonts w:ascii="Arial" w:hAnsi="Arial" w:cs="Arial"/>
            <w:sz w:val="20"/>
            <w:szCs w:val="20"/>
          </w:rPr>
          <w:t>Câmara</w:t>
        </w:r>
      </w:hyperlink>
      <w:r>
        <w:rPr>
          <w:rFonts w:ascii="Arial" w:hAnsi="Arial" w:cs="Arial"/>
          <w:sz w:val="20"/>
          <w:szCs w:val="20"/>
        </w:rPr>
        <w:t xml:space="preserve"> </w:t>
      </w:r>
      <w:r w:rsidR="001F7A25">
        <w:rPr>
          <w:rFonts w:ascii="Arial" w:hAnsi="Arial" w:cs="Arial"/>
          <w:sz w:val="20"/>
          <w:szCs w:val="20"/>
        </w:rPr>
        <w:t>-</w:t>
      </w:r>
      <w:r>
        <w:rPr>
          <w:rFonts w:ascii="Arial" w:hAnsi="Arial" w:cs="Arial"/>
          <w:sz w:val="20"/>
          <w:szCs w:val="20"/>
        </w:rPr>
        <w:t xml:space="preserve"> Rel. Auditor Tiago Alvarez Pedroso. </w:t>
      </w:r>
    </w:p>
    <w:p w:rsidR="00A62886" w:rsidRDefault="00A62886" w:rsidP="00BB5D1E">
      <w:pPr>
        <w:spacing w:after="0"/>
        <w:jc w:val="both"/>
        <w:rPr>
          <w:rFonts w:ascii="Arial" w:hAnsi="Arial" w:cs="Arial"/>
          <w:sz w:val="20"/>
          <w:szCs w:val="20"/>
        </w:rPr>
      </w:pPr>
    </w:p>
    <w:p w:rsidR="00EC3842" w:rsidRPr="00722924" w:rsidRDefault="00EC3842" w:rsidP="00BB5D1E">
      <w:pPr>
        <w:shd w:val="pct10" w:color="auto" w:fill="auto"/>
        <w:spacing w:after="0"/>
        <w:jc w:val="center"/>
        <w:rPr>
          <w:rFonts w:ascii="Arial" w:hAnsi="Arial" w:cs="Arial"/>
          <w:b/>
        </w:rPr>
      </w:pPr>
      <w:r>
        <w:rPr>
          <w:rFonts w:ascii="Arial" w:hAnsi="Arial" w:cs="Arial"/>
          <w:b/>
        </w:rPr>
        <w:t>SEGUNDA</w:t>
      </w:r>
      <w:r w:rsidRPr="00722924">
        <w:rPr>
          <w:rFonts w:ascii="Arial" w:hAnsi="Arial" w:cs="Arial"/>
          <w:b/>
        </w:rPr>
        <w:t xml:space="preserve"> CÂMARA</w:t>
      </w:r>
    </w:p>
    <w:p w:rsidR="003C7C21" w:rsidRDefault="003C7C21" w:rsidP="00BB5D1E">
      <w:pPr>
        <w:autoSpaceDE w:val="0"/>
        <w:autoSpaceDN w:val="0"/>
        <w:adjustRightInd w:val="0"/>
        <w:spacing w:after="0"/>
        <w:jc w:val="both"/>
        <w:rPr>
          <w:rFonts w:ascii="Arial" w:hAnsi="Arial" w:cs="Arial"/>
          <w:b/>
          <w:color w:val="000000"/>
          <w:sz w:val="20"/>
          <w:szCs w:val="20"/>
          <w:shd w:val="clear" w:color="auto" w:fill="FFFFFF"/>
        </w:rPr>
      </w:pPr>
    </w:p>
    <w:p w:rsidR="0096737A" w:rsidRDefault="006C058F" w:rsidP="00BB5D1E">
      <w:pPr>
        <w:autoSpaceDE w:val="0"/>
        <w:autoSpaceDN w:val="0"/>
        <w:adjustRightInd w:val="0"/>
        <w:spacing w:after="0"/>
        <w:jc w:val="both"/>
        <w:rPr>
          <w:rFonts w:ascii="Arial" w:hAnsi="Arial" w:cs="Arial"/>
          <w:b/>
          <w:color w:val="000000"/>
          <w:sz w:val="20"/>
          <w:szCs w:val="20"/>
          <w:shd w:val="clear" w:color="auto" w:fill="FFFFFF"/>
        </w:rPr>
      </w:pPr>
      <w:r>
        <w:rPr>
          <w:rFonts w:ascii="Arial" w:hAnsi="Arial" w:cs="Arial"/>
          <w:b/>
          <w:color w:val="000000"/>
          <w:sz w:val="20"/>
          <w:szCs w:val="20"/>
          <w:shd w:val="clear" w:color="auto" w:fill="FFFFFF"/>
        </w:rPr>
        <w:t xml:space="preserve">5. </w:t>
      </w:r>
      <w:r w:rsidR="0096737A" w:rsidRPr="00F543B9">
        <w:rPr>
          <w:rFonts w:ascii="Arial" w:hAnsi="Arial" w:cs="Arial"/>
          <w:b/>
          <w:color w:val="000000"/>
          <w:sz w:val="20"/>
          <w:szCs w:val="20"/>
          <w:shd w:val="clear" w:color="auto" w:fill="FFFFFF"/>
        </w:rPr>
        <w:t>Admissão de Pessoal. Acumulação de cargos. Área de Saúde. Carga horária acima de 60 horas semanais. Incompatibilidade de horários.</w:t>
      </w:r>
    </w:p>
    <w:p w:rsidR="00BB5D1E" w:rsidRPr="00F543B9" w:rsidRDefault="00BB5D1E" w:rsidP="00BB5D1E">
      <w:pPr>
        <w:autoSpaceDE w:val="0"/>
        <w:autoSpaceDN w:val="0"/>
        <w:adjustRightInd w:val="0"/>
        <w:spacing w:after="0"/>
        <w:jc w:val="both"/>
        <w:rPr>
          <w:rFonts w:ascii="Arial" w:hAnsi="Arial" w:cs="Arial"/>
          <w:b/>
          <w:color w:val="000000"/>
          <w:sz w:val="20"/>
          <w:szCs w:val="20"/>
          <w:shd w:val="clear" w:color="auto" w:fill="FFFFFF"/>
        </w:rPr>
      </w:pPr>
    </w:p>
    <w:p w:rsidR="006D1B83" w:rsidRDefault="0096737A" w:rsidP="00BB5D1E">
      <w:pPr>
        <w:autoSpaceDE w:val="0"/>
        <w:autoSpaceDN w:val="0"/>
        <w:adjustRightInd w:val="0"/>
        <w:spacing w:after="0"/>
        <w:jc w:val="both"/>
        <w:rPr>
          <w:rFonts w:ascii="Arial" w:hAnsi="Arial" w:cs="Arial"/>
          <w:color w:val="000000"/>
          <w:sz w:val="20"/>
          <w:szCs w:val="20"/>
          <w:shd w:val="clear" w:color="auto" w:fill="FFFFFF"/>
        </w:rPr>
      </w:pPr>
      <w:r w:rsidRPr="0096737A">
        <w:rPr>
          <w:rFonts w:ascii="Arial" w:hAnsi="Arial" w:cs="Arial"/>
          <w:color w:val="000000"/>
          <w:sz w:val="20"/>
          <w:szCs w:val="20"/>
          <w:shd w:val="clear" w:color="auto" w:fill="FFFFFF"/>
        </w:rPr>
        <w:t xml:space="preserve">A Constituição Federal, em seu artigo 37, inciso XVI, condiciona a possibilidade de acumulação remunerada de dois cargos ou empregos privativos de profissionais de saúde à compatibilidade de horários. </w:t>
      </w:r>
      <w:r>
        <w:rPr>
          <w:rFonts w:ascii="Arial" w:hAnsi="Arial" w:cs="Arial"/>
          <w:color w:val="000000"/>
          <w:sz w:val="20"/>
          <w:szCs w:val="20"/>
          <w:shd w:val="clear" w:color="auto" w:fill="FFFFFF"/>
        </w:rPr>
        <w:t xml:space="preserve"> </w:t>
      </w:r>
      <w:r w:rsidRPr="0096737A">
        <w:rPr>
          <w:rFonts w:ascii="Arial" w:hAnsi="Arial" w:cs="Arial"/>
          <w:color w:val="000000"/>
          <w:sz w:val="20"/>
          <w:szCs w:val="20"/>
          <w:shd w:val="clear" w:color="auto" w:fill="FFFFFF"/>
        </w:rPr>
        <w:t>Uma acumulação em escala 12x36 em ambos os cargos totaliza 84 (oitenta e quatro) horas semanais, situação que, além de prejudicar o cumprimento da carga horária, impede que o agente público possa se restabelecer e desenvolver suas atividades com a presteza, eficiência e qualidade necessárias na área de saúde.</w:t>
      </w:r>
    </w:p>
    <w:p w:rsidR="003C7C21" w:rsidRDefault="003C7C21" w:rsidP="00BB5D1E">
      <w:pPr>
        <w:autoSpaceDE w:val="0"/>
        <w:autoSpaceDN w:val="0"/>
        <w:adjustRightInd w:val="0"/>
        <w:spacing w:after="0"/>
        <w:jc w:val="both"/>
        <w:rPr>
          <w:rFonts w:ascii="Arial" w:hAnsi="Arial" w:cs="Arial"/>
          <w:color w:val="000000"/>
          <w:sz w:val="20"/>
          <w:szCs w:val="20"/>
          <w:shd w:val="clear" w:color="auto" w:fill="FFFFFF"/>
        </w:rPr>
      </w:pPr>
    </w:p>
    <w:p w:rsidR="00F543B9" w:rsidRDefault="00F543B9" w:rsidP="00BB5D1E">
      <w:pPr>
        <w:autoSpaceDE w:val="0"/>
        <w:autoSpaceDN w:val="0"/>
        <w:adjustRightInd w:val="0"/>
        <w:spacing w:after="0"/>
        <w:jc w:val="both"/>
        <w:rPr>
          <w:rFonts w:ascii="Arial" w:hAnsi="Arial" w:cs="Arial"/>
          <w:color w:val="000000"/>
          <w:sz w:val="20"/>
          <w:szCs w:val="20"/>
          <w:shd w:val="clear" w:color="auto" w:fill="FFFFFF"/>
        </w:rPr>
      </w:pPr>
      <w:r w:rsidRPr="007B2ADE">
        <w:rPr>
          <w:rFonts w:ascii="Arial" w:hAnsi="Arial" w:cs="Arial"/>
          <w:color w:val="000000"/>
          <w:sz w:val="20"/>
          <w:szCs w:val="20"/>
          <w:shd w:val="clear" w:color="auto" w:fill="FFFFFF"/>
        </w:rPr>
        <w:t xml:space="preserve">Processo n° </w:t>
      </w:r>
      <w:r>
        <w:rPr>
          <w:rFonts w:ascii="Arial" w:hAnsi="Arial" w:cs="Arial"/>
          <w:color w:val="000000"/>
          <w:sz w:val="20"/>
          <w:szCs w:val="20"/>
          <w:shd w:val="clear" w:color="auto" w:fill="FFFFFF"/>
        </w:rPr>
        <w:t>621310</w:t>
      </w:r>
      <w:r w:rsidRPr="00540B8E">
        <w:rPr>
          <w:rFonts w:ascii="Arial" w:hAnsi="Arial" w:cs="Arial"/>
          <w:color w:val="000000"/>
          <w:sz w:val="20"/>
          <w:szCs w:val="20"/>
          <w:shd w:val="clear" w:color="auto" w:fill="FFFFFF"/>
        </w:rPr>
        <w:t>/</w:t>
      </w:r>
      <w:r>
        <w:rPr>
          <w:rFonts w:ascii="Arial" w:hAnsi="Arial" w:cs="Arial"/>
          <w:color w:val="000000"/>
          <w:sz w:val="20"/>
          <w:szCs w:val="20"/>
          <w:shd w:val="clear" w:color="auto" w:fill="FFFFFF"/>
        </w:rPr>
        <w:t>16</w:t>
      </w:r>
      <w:r w:rsidRPr="007B2ADE">
        <w:rPr>
          <w:rFonts w:ascii="Arial" w:hAnsi="Arial" w:cs="Arial"/>
          <w:color w:val="000000"/>
          <w:sz w:val="20"/>
          <w:szCs w:val="20"/>
          <w:shd w:val="clear" w:color="auto" w:fill="FFFFFF"/>
        </w:rPr>
        <w:t xml:space="preserve"> - </w:t>
      </w:r>
      <w:hyperlink r:id="rId12" w:history="1">
        <w:r w:rsidRPr="00F543B9">
          <w:rPr>
            <w:rStyle w:val="Hyperlink"/>
            <w:rFonts w:ascii="Arial" w:hAnsi="Arial" w:cs="Arial"/>
            <w:sz w:val="20"/>
            <w:szCs w:val="20"/>
            <w:shd w:val="clear" w:color="auto" w:fill="FFFFFF"/>
          </w:rPr>
          <w:t xml:space="preserve">Acórdão n° 1342/17 </w:t>
        </w:r>
        <w:r w:rsidR="00A62886">
          <w:rPr>
            <w:rStyle w:val="Hyperlink"/>
            <w:rFonts w:ascii="Arial" w:hAnsi="Arial" w:cs="Arial"/>
            <w:sz w:val="20"/>
            <w:szCs w:val="20"/>
            <w:shd w:val="clear" w:color="auto" w:fill="FFFFFF"/>
          </w:rPr>
          <w:t>-</w:t>
        </w:r>
        <w:r w:rsidRPr="00F543B9">
          <w:rPr>
            <w:rStyle w:val="Hyperlink"/>
            <w:rFonts w:ascii="Arial" w:hAnsi="Arial" w:cs="Arial"/>
            <w:sz w:val="20"/>
            <w:szCs w:val="20"/>
            <w:shd w:val="clear" w:color="auto" w:fill="FFFFFF"/>
          </w:rPr>
          <w:t xml:space="preserve"> Segunda Câmara</w:t>
        </w:r>
      </w:hyperlink>
      <w:r w:rsidRPr="007B2ADE">
        <w:rPr>
          <w:rFonts w:ascii="Arial" w:hAnsi="Arial" w:cs="Arial"/>
          <w:color w:val="000000"/>
          <w:sz w:val="20"/>
          <w:szCs w:val="20"/>
          <w:shd w:val="clear" w:color="auto" w:fill="FFFFFF"/>
        </w:rPr>
        <w:t xml:space="preserve"> - Rel. Cons</w:t>
      </w:r>
      <w:r>
        <w:rPr>
          <w:rFonts w:ascii="Arial" w:hAnsi="Arial" w:cs="Arial"/>
          <w:color w:val="000000"/>
          <w:sz w:val="20"/>
          <w:szCs w:val="20"/>
          <w:shd w:val="clear" w:color="auto" w:fill="FFFFFF"/>
        </w:rPr>
        <w:t xml:space="preserve">elheiro Ivan </w:t>
      </w:r>
      <w:proofErr w:type="spellStart"/>
      <w:r>
        <w:rPr>
          <w:rFonts w:ascii="Arial" w:hAnsi="Arial" w:cs="Arial"/>
          <w:color w:val="000000"/>
          <w:sz w:val="20"/>
          <w:szCs w:val="20"/>
          <w:shd w:val="clear" w:color="auto" w:fill="FFFFFF"/>
        </w:rPr>
        <w:t>Lelis</w:t>
      </w:r>
      <w:proofErr w:type="spellEnd"/>
      <w:r>
        <w:rPr>
          <w:rFonts w:ascii="Arial" w:hAnsi="Arial" w:cs="Arial"/>
          <w:color w:val="000000"/>
          <w:sz w:val="20"/>
          <w:szCs w:val="20"/>
          <w:shd w:val="clear" w:color="auto" w:fill="FFFFFF"/>
        </w:rPr>
        <w:t xml:space="preserve"> Bonilha.</w:t>
      </w:r>
    </w:p>
    <w:p w:rsidR="00D03845" w:rsidRPr="00123D02" w:rsidRDefault="00D03845" w:rsidP="00BB5D1E">
      <w:pPr>
        <w:autoSpaceDE w:val="0"/>
        <w:autoSpaceDN w:val="0"/>
        <w:adjustRightInd w:val="0"/>
        <w:spacing w:after="0"/>
        <w:jc w:val="both"/>
        <w:rPr>
          <w:rFonts w:ascii="Arial" w:hAnsi="Arial" w:cs="Arial"/>
          <w:sz w:val="20"/>
          <w:szCs w:val="20"/>
        </w:rPr>
      </w:pPr>
    </w:p>
    <w:p w:rsidR="00AE4F42" w:rsidRPr="00722924" w:rsidRDefault="00AE4F42" w:rsidP="00BB5D1E">
      <w:pPr>
        <w:shd w:val="pct10" w:color="auto" w:fill="auto"/>
        <w:spacing w:after="0"/>
        <w:jc w:val="center"/>
        <w:rPr>
          <w:rFonts w:ascii="Arial" w:hAnsi="Arial" w:cs="Arial"/>
          <w:b/>
        </w:rPr>
      </w:pPr>
      <w:r>
        <w:rPr>
          <w:rFonts w:ascii="Arial" w:hAnsi="Arial" w:cs="Arial"/>
          <w:b/>
        </w:rPr>
        <w:t>TRIBUNAL PLENO</w:t>
      </w:r>
    </w:p>
    <w:p w:rsidR="003C7C21" w:rsidRDefault="003C7C21" w:rsidP="00BB5D1E">
      <w:pPr>
        <w:autoSpaceDE w:val="0"/>
        <w:autoSpaceDN w:val="0"/>
        <w:adjustRightInd w:val="0"/>
        <w:spacing w:after="0"/>
        <w:jc w:val="both"/>
        <w:rPr>
          <w:rFonts w:ascii="Arial" w:hAnsi="Arial" w:cs="Arial"/>
          <w:b/>
          <w:color w:val="000000"/>
          <w:sz w:val="20"/>
          <w:szCs w:val="20"/>
          <w:shd w:val="clear" w:color="auto" w:fill="FFFFFF"/>
        </w:rPr>
      </w:pPr>
    </w:p>
    <w:p w:rsidR="006D1B83" w:rsidRDefault="006C058F" w:rsidP="00BB5D1E">
      <w:pPr>
        <w:autoSpaceDE w:val="0"/>
        <w:autoSpaceDN w:val="0"/>
        <w:adjustRightInd w:val="0"/>
        <w:spacing w:after="0"/>
        <w:jc w:val="both"/>
        <w:rPr>
          <w:rFonts w:ascii="Arial" w:hAnsi="Arial" w:cs="Arial"/>
          <w:b/>
          <w:color w:val="000000"/>
          <w:sz w:val="20"/>
          <w:szCs w:val="20"/>
          <w:shd w:val="clear" w:color="auto" w:fill="FFFFFF"/>
        </w:rPr>
      </w:pPr>
      <w:r>
        <w:rPr>
          <w:rFonts w:ascii="Arial" w:hAnsi="Arial" w:cs="Arial"/>
          <w:b/>
          <w:color w:val="000000"/>
          <w:sz w:val="20"/>
          <w:szCs w:val="20"/>
          <w:shd w:val="clear" w:color="auto" w:fill="FFFFFF"/>
        </w:rPr>
        <w:t xml:space="preserve">6. </w:t>
      </w:r>
      <w:r w:rsidR="00F447DB" w:rsidRPr="00F447DB">
        <w:rPr>
          <w:rFonts w:ascii="Arial" w:hAnsi="Arial" w:cs="Arial"/>
          <w:b/>
          <w:color w:val="000000"/>
          <w:sz w:val="20"/>
          <w:szCs w:val="20"/>
          <w:shd w:val="clear" w:color="auto" w:fill="FFFFFF"/>
        </w:rPr>
        <w:t xml:space="preserve">Representação </w:t>
      </w:r>
      <w:r w:rsidR="00F447DB">
        <w:rPr>
          <w:rFonts w:ascii="Arial" w:hAnsi="Arial" w:cs="Arial"/>
          <w:b/>
          <w:color w:val="000000"/>
          <w:sz w:val="20"/>
          <w:szCs w:val="20"/>
          <w:shd w:val="clear" w:color="auto" w:fill="FFFFFF"/>
        </w:rPr>
        <w:t>da Lei</w:t>
      </w:r>
      <w:r w:rsidR="00F447DB" w:rsidRPr="00F447DB">
        <w:rPr>
          <w:rFonts w:ascii="Arial" w:hAnsi="Arial" w:cs="Arial"/>
          <w:b/>
          <w:color w:val="000000"/>
          <w:sz w:val="20"/>
          <w:szCs w:val="20"/>
          <w:shd w:val="clear" w:color="auto" w:fill="FFFFFF"/>
        </w:rPr>
        <w:t xml:space="preserve"> </w:t>
      </w:r>
      <w:r w:rsidR="00F447DB">
        <w:rPr>
          <w:rFonts w:ascii="Arial" w:hAnsi="Arial" w:cs="Arial"/>
          <w:b/>
          <w:color w:val="000000"/>
          <w:sz w:val="20"/>
          <w:szCs w:val="20"/>
          <w:shd w:val="clear" w:color="auto" w:fill="FFFFFF"/>
        </w:rPr>
        <w:t>n</w:t>
      </w:r>
      <w:r w:rsidR="00F447DB" w:rsidRPr="00F447DB">
        <w:rPr>
          <w:rFonts w:ascii="Arial" w:hAnsi="Arial" w:cs="Arial"/>
          <w:b/>
          <w:color w:val="000000"/>
          <w:sz w:val="20"/>
          <w:szCs w:val="20"/>
          <w:shd w:val="clear" w:color="auto" w:fill="FFFFFF"/>
        </w:rPr>
        <w:t>º 8.666/1993. Compras Públicas. Fracionamento do Objeto. Parcelamento. Valor Global. Economicidade. Necessidade de demonstração.</w:t>
      </w:r>
    </w:p>
    <w:p w:rsidR="00BB5D1E" w:rsidRPr="00F447DB" w:rsidRDefault="00BB5D1E" w:rsidP="00BB5D1E">
      <w:pPr>
        <w:autoSpaceDE w:val="0"/>
        <w:autoSpaceDN w:val="0"/>
        <w:adjustRightInd w:val="0"/>
        <w:spacing w:after="0"/>
        <w:jc w:val="both"/>
        <w:rPr>
          <w:rFonts w:ascii="Arial" w:hAnsi="Arial" w:cs="Arial"/>
          <w:b/>
          <w:color w:val="000000"/>
          <w:sz w:val="20"/>
          <w:szCs w:val="20"/>
          <w:shd w:val="clear" w:color="auto" w:fill="FFFFFF"/>
        </w:rPr>
      </w:pPr>
    </w:p>
    <w:p w:rsidR="006D1B83" w:rsidRDefault="006D1B83" w:rsidP="00BB5D1E">
      <w:pPr>
        <w:autoSpaceDE w:val="0"/>
        <w:autoSpaceDN w:val="0"/>
        <w:adjustRightInd w:val="0"/>
        <w:spacing w:after="0"/>
        <w:jc w:val="both"/>
        <w:rPr>
          <w:rFonts w:ascii="Arial" w:hAnsi="Arial" w:cs="Arial"/>
          <w:color w:val="000000"/>
          <w:sz w:val="20"/>
          <w:szCs w:val="20"/>
          <w:shd w:val="clear" w:color="auto" w:fill="FFFFFF"/>
        </w:rPr>
      </w:pPr>
      <w:r w:rsidRPr="006D1B83">
        <w:rPr>
          <w:rFonts w:ascii="Arial" w:hAnsi="Arial" w:cs="Arial"/>
          <w:color w:val="000000"/>
          <w:sz w:val="20"/>
          <w:szCs w:val="20"/>
          <w:shd w:val="clear" w:color="auto" w:fill="FFFFFF"/>
        </w:rPr>
        <w:t xml:space="preserve">Em regra as compras realizadas pela Administração Pública devem ser subdivididas parcelas, para aproveitar as peculiaridades do mercado, visando </w:t>
      </w:r>
      <w:r w:rsidR="00890F9C" w:rsidRPr="006D1B83">
        <w:rPr>
          <w:rFonts w:ascii="Arial" w:hAnsi="Arial" w:cs="Arial"/>
          <w:color w:val="000000"/>
          <w:sz w:val="20"/>
          <w:szCs w:val="20"/>
          <w:shd w:val="clear" w:color="auto" w:fill="FFFFFF"/>
        </w:rPr>
        <w:t>à</w:t>
      </w:r>
      <w:r w:rsidRPr="006D1B83">
        <w:rPr>
          <w:rFonts w:ascii="Arial" w:hAnsi="Arial" w:cs="Arial"/>
          <w:color w:val="000000"/>
          <w:sz w:val="20"/>
          <w:szCs w:val="20"/>
          <w:shd w:val="clear" w:color="auto" w:fill="FFFFFF"/>
        </w:rPr>
        <w:t xml:space="preserve"> economici</w:t>
      </w:r>
      <w:r w:rsidR="001B096B">
        <w:rPr>
          <w:rFonts w:ascii="Arial" w:hAnsi="Arial" w:cs="Arial"/>
          <w:color w:val="000000"/>
          <w:sz w:val="20"/>
          <w:szCs w:val="20"/>
          <w:shd w:val="clear" w:color="auto" w:fill="FFFFFF"/>
        </w:rPr>
        <w:t xml:space="preserve">dade, conforme </w:t>
      </w:r>
      <w:r w:rsidRPr="006D1B83">
        <w:rPr>
          <w:rFonts w:ascii="Arial" w:hAnsi="Arial" w:cs="Arial"/>
          <w:color w:val="000000"/>
          <w:sz w:val="20"/>
          <w:szCs w:val="20"/>
          <w:shd w:val="clear" w:color="auto" w:fill="FFFFFF"/>
        </w:rPr>
        <w:t>previsão do artigo 15, da Lei 8.666/93.</w:t>
      </w:r>
      <w:r>
        <w:rPr>
          <w:rFonts w:ascii="Arial" w:hAnsi="Arial" w:cs="Arial"/>
          <w:color w:val="000000"/>
          <w:sz w:val="20"/>
          <w:szCs w:val="20"/>
          <w:shd w:val="clear" w:color="auto" w:fill="FFFFFF"/>
        </w:rPr>
        <w:t xml:space="preserve"> </w:t>
      </w:r>
      <w:r w:rsidRPr="006D1B83">
        <w:rPr>
          <w:rFonts w:ascii="Arial" w:hAnsi="Arial" w:cs="Arial"/>
          <w:color w:val="000000"/>
          <w:sz w:val="20"/>
          <w:szCs w:val="20"/>
          <w:shd w:val="clear" w:color="auto" w:fill="FFFFFF"/>
        </w:rPr>
        <w:t xml:space="preserve"> </w:t>
      </w:r>
      <w:r w:rsidR="00A83750" w:rsidRPr="00A83750">
        <w:rPr>
          <w:rFonts w:ascii="Arial" w:hAnsi="Arial" w:cs="Arial"/>
          <w:color w:val="000000"/>
          <w:sz w:val="20"/>
          <w:szCs w:val="20"/>
          <w:shd w:val="clear" w:color="auto" w:fill="FFFFFF"/>
        </w:rPr>
        <w:t>Não se aplica essa regra</w:t>
      </w:r>
      <w:r w:rsidRPr="00A83750">
        <w:rPr>
          <w:rFonts w:ascii="Arial" w:hAnsi="Arial" w:cs="Arial"/>
          <w:color w:val="000000"/>
          <w:sz w:val="20"/>
          <w:szCs w:val="20"/>
          <w:shd w:val="clear" w:color="auto" w:fill="FFFFFF"/>
        </w:rPr>
        <w:t xml:space="preserve"> nos casos em que o parcelamento do ob</w:t>
      </w:r>
      <w:r w:rsidR="00A83750" w:rsidRPr="00A83750">
        <w:rPr>
          <w:rFonts w:ascii="Arial" w:hAnsi="Arial" w:cs="Arial"/>
          <w:color w:val="000000"/>
          <w:sz w:val="20"/>
          <w:szCs w:val="20"/>
          <w:shd w:val="clear" w:color="auto" w:fill="FFFFFF"/>
        </w:rPr>
        <w:t>jeto seja menos vantajoso para à Administração</w:t>
      </w:r>
      <w:r w:rsidRPr="00A83750">
        <w:rPr>
          <w:rFonts w:ascii="Arial" w:hAnsi="Arial" w:cs="Arial"/>
          <w:color w:val="000000"/>
          <w:sz w:val="20"/>
          <w:szCs w:val="20"/>
          <w:shd w:val="clear" w:color="auto" w:fill="FFFFFF"/>
        </w:rPr>
        <w:t>, seja por inviabilidade técnica ou por inviabilidade econômica.</w:t>
      </w:r>
      <w:r w:rsidR="00A83750">
        <w:rPr>
          <w:rFonts w:ascii="Arial" w:hAnsi="Arial" w:cs="Arial"/>
          <w:color w:val="000000"/>
          <w:sz w:val="20"/>
          <w:szCs w:val="20"/>
          <w:shd w:val="clear" w:color="auto" w:fill="FFFFFF"/>
        </w:rPr>
        <w:t xml:space="preserve"> Assim, nos casos em que o ente público não observe a regra da Lei 8.666/93, deve o ente demonstrar </w:t>
      </w:r>
      <w:r w:rsidR="00D83ED5">
        <w:rPr>
          <w:rFonts w:ascii="Arial" w:hAnsi="Arial" w:cs="Arial"/>
          <w:color w:val="000000"/>
          <w:sz w:val="20"/>
          <w:szCs w:val="20"/>
          <w:shd w:val="clear" w:color="auto" w:fill="FFFFFF"/>
        </w:rPr>
        <w:t>viabilidade técnica e vantagem econômica na adjudicação por preço</w:t>
      </w:r>
      <w:r w:rsidR="00F447DB">
        <w:rPr>
          <w:rFonts w:ascii="Arial" w:hAnsi="Arial" w:cs="Arial"/>
          <w:color w:val="000000"/>
          <w:sz w:val="20"/>
          <w:szCs w:val="20"/>
          <w:shd w:val="clear" w:color="auto" w:fill="FFFFFF"/>
        </w:rPr>
        <w:t xml:space="preserve"> global.</w:t>
      </w:r>
    </w:p>
    <w:p w:rsidR="00BB5D1E" w:rsidRPr="006D1B83" w:rsidRDefault="00BB5D1E" w:rsidP="00BB5D1E">
      <w:pPr>
        <w:autoSpaceDE w:val="0"/>
        <w:autoSpaceDN w:val="0"/>
        <w:adjustRightInd w:val="0"/>
        <w:spacing w:after="0"/>
        <w:jc w:val="both"/>
        <w:rPr>
          <w:rFonts w:ascii="Arial" w:hAnsi="Arial" w:cs="Arial"/>
          <w:color w:val="000000"/>
          <w:sz w:val="20"/>
          <w:szCs w:val="20"/>
          <w:shd w:val="clear" w:color="auto" w:fill="FFFFFF"/>
        </w:rPr>
      </w:pPr>
    </w:p>
    <w:p w:rsidR="00F447DB" w:rsidRDefault="00F447DB" w:rsidP="00BB5D1E">
      <w:pPr>
        <w:autoSpaceDE w:val="0"/>
        <w:autoSpaceDN w:val="0"/>
        <w:adjustRightInd w:val="0"/>
        <w:spacing w:after="0"/>
        <w:jc w:val="both"/>
        <w:rPr>
          <w:rFonts w:ascii="Arial" w:hAnsi="Arial" w:cs="Arial"/>
          <w:color w:val="000000"/>
          <w:sz w:val="20"/>
          <w:szCs w:val="20"/>
          <w:shd w:val="clear" w:color="auto" w:fill="FFFFFF"/>
        </w:rPr>
      </w:pPr>
      <w:r w:rsidRPr="007B2ADE">
        <w:rPr>
          <w:rFonts w:ascii="Arial" w:hAnsi="Arial" w:cs="Arial"/>
          <w:color w:val="000000"/>
          <w:sz w:val="20"/>
          <w:szCs w:val="20"/>
          <w:shd w:val="clear" w:color="auto" w:fill="FFFFFF"/>
        </w:rPr>
        <w:lastRenderedPageBreak/>
        <w:t xml:space="preserve">Processo n° </w:t>
      </w:r>
      <w:r>
        <w:rPr>
          <w:rFonts w:ascii="Arial" w:hAnsi="Arial" w:cs="Arial"/>
          <w:color w:val="000000"/>
          <w:sz w:val="20"/>
          <w:szCs w:val="20"/>
          <w:shd w:val="clear" w:color="auto" w:fill="FFFFFF"/>
        </w:rPr>
        <w:t>11</w:t>
      </w:r>
      <w:r w:rsidR="00253ADA">
        <w:rPr>
          <w:rFonts w:ascii="Arial" w:hAnsi="Arial" w:cs="Arial"/>
          <w:color w:val="000000"/>
          <w:sz w:val="20"/>
          <w:szCs w:val="20"/>
          <w:shd w:val="clear" w:color="auto" w:fill="FFFFFF"/>
        </w:rPr>
        <w:t>6</w:t>
      </w:r>
      <w:r>
        <w:rPr>
          <w:rFonts w:ascii="Arial" w:hAnsi="Arial" w:cs="Arial"/>
          <w:color w:val="000000"/>
          <w:sz w:val="20"/>
          <w:szCs w:val="20"/>
          <w:shd w:val="clear" w:color="auto" w:fill="FFFFFF"/>
        </w:rPr>
        <w:t>212</w:t>
      </w:r>
      <w:r w:rsidRPr="00540B8E">
        <w:rPr>
          <w:rFonts w:ascii="Arial" w:hAnsi="Arial" w:cs="Arial"/>
          <w:color w:val="000000"/>
          <w:sz w:val="20"/>
          <w:szCs w:val="20"/>
          <w:shd w:val="clear" w:color="auto" w:fill="FFFFFF"/>
        </w:rPr>
        <w:t>/</w:t>
      </w:r>
      <w:r>
        <w:rPr>
          <w:rFonts w:ascii="Arial" w:hAnsi="Arial" w:cs="Arial"/>
          <w:color w:val="000000"/>
          <w:sz w:val="20"/>
          <w:szCs w:val="20"/>
          <w:shd w:val="clear" w:color="auto" w:fill="FFFFFF"/>
        </w:rPr>
        <w:t>15</w:t>
      </w:r>
      <w:r w:rsidRPr="007B2ADE">
        <w:rPr>
          <w:rFonts w:ascii="Arial" w:hAnsi="Arial" w:cs="Arial"/>
          <w:color w:val="000000"/>
          <w:sz w:val="20"/>
          <w:szCs w:val="20"/>
          <w:shd w:val="clear" w:color="auto" w:fill="FFFFFF"/>
        </w:rPr>
        <w:t xml:space="preserve"> - </w:t>
      </w:r>
      <w:hyperlink r:id="rId13" w:history="1">
        <w:r w:rsidRPr="00253ADA">
          <w:rPr>
            <w:rStyle w:val="Hyperlink"/>
            <w:rFonts w:ascii="Arial" w:hAnsi="Arial" w:cs="Arial"/>
            <w:sz w:val="20"/>
            <w:szCs w:val="20"/>
            <w:shd w:val="clear" w:color="auto" w:fill="FFFFFF"/>
          </w:rPr>
          <w:t>Acórdão n° 1385/17 - Tribunal Pleno</w:t>
        </w:r>
      </w:hyperlink>
      <w:r w:rsidRPr="007B2ADE">
        <w:rPr>
          <w:rFonts w:ascii="Arial" w:hAnsi="Arial" w:cs="Arial"/>
          <w:color w:val="000000"/>
          <w:sz w:val="20"/>
          <w:szCs w:val="20"/>
          <w:shd w:val="clear" w:color="auto" w:fill="FFFFFF"/>
        </w:rPr>
        <w:t xml:space="preserve"> - Rel. Cons</w:t>
      </w:r>
      <w:r>
        <w:rPr>
          <w:rFonts w:ascii="Arial" w:hAnsi="Arial" w:cs="Arial"/>
          <w:color w:val="000000"/>
          <w:sz w:val="20"/>
          <w:szCs w:val="20"/>
          <w:shd w:val="clear" w:color="auto" w:fill="FFFFFF"/>
        </w:rPr>
        <w:t xml:space="preserve">elheiro Ivan </w:t>
      </w:r>
      <w:proofErr w:type="spellStart"/>
      <w:r>
        <w:rPr>
          <w:rFonts w:ascii="Arial" w:hAnsi="Arial" w:cs="Arial"/>
          <w:color w:val="000000"/>
          <w:sz w:val="20"/>
          <w:szCs w:val="20"/>
          <w:shd w:val="clear" w:color="auto" w:fill="FFFFFF"/>
        </w:rPr>
        <w:t>Lelis</w:t>
      </w:r>
      <w:proofErr w:type="spellEnd"/>
      <w:r>
        <w:rPr>
          <w:rFonts w:ascii="Arial" w:hAnsi="Arial" w:cs="Arial"/>
          <w:color w:val="000000"/>
          <w:sz w:val="20"/>
          <w:szCs w:val="20"/>
          <w:shd w:val="clear" w:color="auto" w:fill="FFFFFF"/>
        </w:rPr>
        <w:t xml:space="preserve"> Bonilha.</w:t>
      </w:r>
    </w:p>
    <w:p w:rsidR="008317C8" w:rsidRPr="007B2ADE" w:rsidRDefault="008317C8" w:rsidP="00BB5D1E">
      <w:pPr>
        <w:autoSpaceDE w:val="0"/>
        <w:autoSpaceDN w:val="0"/>
        <w:adjustRightInd w:val="0"/>
        <w:spacing w:after="0"/>
        <w:jc w:val="both"/>
        <w:rPr>
          <w:rFonts w:ascii="Arial" w:hAnsi="Arial" w:cs="Arial"/>
          <w:color w:val="000000"/>
          <w:sz w:val="20"/>
          <w:szCs w:val="20"/>
          <w:shd w:val="clear" w:color="auto" w:fill="FFFFFF"/>
        </w:rPr>
      </w:pPr>
    </w:p>
    <w:p w:rsidR="000E3ACE" w:rsidRDefault="006C058F" w:rsidP="00BB5D1E">
      <w:pPr>
        <w:autoSpaceDE w:val="0"/>
        <w:autoSpaceDN w:val="0"/>
        <w:adjustRightInd w:val="0"/>
        <w:spacing w:after="0"/>
        <w:jc w:val="both"/>
        <w:rPr>
          <w:rFonts w:ascii="Arial" w:hAnsi="Arial" w:cs="Arial"/>
          <w:b/>
          <w:color w:val="000000"/>
          <w:sz w:val="20"/>
          <w:szCs w:val="20"/>
          <w:shd w:val="clear" w:color="auto" w:fill="FFFFFF"/>
        </w:rPr>
      </w:pPr>
      <w:r>
        <w:rPr>
          <w:rFonts w:ascii="Arial" w:hAnsi="Arial" w:cs="Arial"/>
          <w:b/>
          <w:color w:val="000000"/>
          <w:sz w:val="20"/>
          <w:szCs w:val="20"/>
          <w:shd w:val="clear" w:color="auto" w:fill="FFFFFF"/>
        </w:rPr>
        <w:t xml:space="preserve">7. </w:t>
      </w:r>
      <w:r w:rsidR="000E3ACE" w:rsidRPr="00F447DB">
        <w:rPr>
          <w:rFonts w:ascii="Arial" w:hAnsi="Arial" w:cs="Arial"/>
          <w:b/>
          <w:color w:val="000000"/>
          <w:sz w:val="20"/>
          <w:szCs w:val="20"/>
          <w:shd w:val="clear" w:color="auto" w:fill="FFFFFF"/>
        </w:rPr>
        <w:t xml:space="preserve">Representação </w:t>
      </w:r>
      <w:r w:rsidR="000E3ACE">
        <w:rPr>
          <w:rFonts w:ascii="Arial" w:hAnsi="Arial" w:cs="Arial"/>
          <w:b/>
          <w:color w:val="000000"/>
          <w:sz w:val="20"/>
          <w:szCs w:val="20"/>
          <w:shd w:val="clear" w:color="auto" w:fill="FFFFFF"/>
        </w:rPr>
        <w:t>da Lei</w:t>
      </w:r>
      <w:r w:rsidR="000E3ACE" w:rsidRPr="00F447DB">
        <w:rPr>
          <w:rFonts w:ascii="Arial" w:hAnsi="Arial" w:cs="Arial"/>
          <w:b/>
          <w:color w:val="000000"/>
          <w:sz w:val="20"/>
          <w:szCs w:val="20"/>
          <w:shd w:val="clear" w:color="auto" w:fill="FFFFFF"/>
        </w:rPr>
        <w:t xml:space="preserve"> </w:t>
      </w:r>
      <w:r w:rsidR="000E3ACE">
        <w:rPr>
          <w:rFonts w:ascii="Arial" w:hAnsi="Arial" w:cs="Arial"/>
          <w:b/>
          <w:color w:val="000000"/>
          <w:sz w:val="20"/>
          <w:szCs w:val="20"/>
          <w:shd w:val="clear" w:color="auto" w:fill="FFFFFF"/>
        </w:rPr>
        <w:t>n</w:t>
      </w:r>
      <w:r w:rsidR="000E3ACE" w:rsidRPr="00F447DB">
        <w:rPr>
          <w:rFonts w:ascii="Arial" w:hAnsi="Arial" w:cs="Arial"/>
          <w:b/>
          <w:color w:val="000000"/>
          <w:sz w:val="20"/>
          <w:szCs w:val="20"/>
          <w:shd w:val="clear" w:color="auto" w:fill="FFFFFF"/>
        </w:rPr>
        <w:t>º 8.666/1993</w:t>
      </w:r>
      <w:r w:rsidR="000E3ACE">
        <w:rPr>
          <w:rFonts w:ascii="Arial" w:hAnsi="Arial" w:cs="Arial"/>
          <w:b/>
          <w:color w:val="000000"/>
          <w:sz w:val="20"/>
          <w:szCs w:val="20"/>
          <w:shd w:val="clear" w:color="auto" w:fill="FFFFFF"/>
        </w:rPr>
        <w:t xml:space="preserve">. Licitação. Exigências em edital. Especificações não relacionadas à qualidade do produto. Direcionamento de marca. Proibição. </w:t>
      </w:r>
    </w:p>
    <w:p w:rsidR="00BB5D1E" w:rsidRDefault="00BB5D1E" w:rsidP="00BB5D1E">
      <w:pPr>
        <w:autoSpaceDE w:val="0"/>
        <w:autoSpaceDN w:val="0"/>
        <w:adjustRightInd w:val="0"/>
        <w:spacing w:after="0"/>
        <w:jc w:val="both"/>
        <w:rPr>
          <w:rFonts w:ascii="Arial" w:hAnsi="Arial" w:cs="Arial"/>
          <w:color w:val="000000"/>
          <w:sz w:val="20"/>
          <w:szCs w:val="20"/>
          <w:shd w:val="clear" w:color="auto" w:fill="FFFFFF"/>
        </w:rPr>
      </w:pPr>
    </w:p>
    <w:p w:rsidR="006D1B83" w:rsidRDefault="000E3ACE" w:rsidP="00BB5D1E">
      <w:pPr>
        <w:autoSpaceDE w:val="0"/>
        <w:autoSpaceDN w:val="0"/>
        <w:adjustRightInd w:val="0"/>
        <w:spacing w:after="0"/>
        <w:jc w:val="both"/>
        <w:rPr>
          <w:rFonts w:ascii="Arial" w:hAnsi="Arial" w:cs="Arial"/>
          <w:color w:val="000000"/>
          <w:sz w:val="20"/>
          <w:szCs w:val="20"/>
          <w:shd w:val="clear" w:color="auto" w:fill="FFFFFF"/>
        </w:rPr>
      </w:pPr>
      <w:r w:rsidRPr="000E3ACE">
        <w:rPr>
          <w:rFonts w:ascii="Arial" w:hAnsi="Arial" w:cs="Arial"/>
          <w:color w:val="000000"/>
          <w:sz w:val="20"/>
          <w:szCs w:val="20"/>
          <w:shd w:val="clear" w:color="auto" w:fill="FFFFFF"/>
        </w:rPr>
        <w:t xml:space="preserve">A exigência em edital de especificações não relacionadas à funcionalidade dos bens a serem adquiridos, como forma de direcionar o objeto a determinada marca, acarreta em restrição indevida à competitividade maculando o edital de nulidade, por ofensa aos </w:t>
      </w:r>
      <w:proofErr w:type="spellStart"/>
      <w:r w:rsidRPr="000E3ACE">
        <w:rPr>
          <w:rFonts w:ascii="Arial" w:hAnsi="Arial" w:cs="Arial"/>
          <w:color w:val="000000"/>
          <w:sz w:val="20"/>
          <w:szCs w:val="20"/>
          <w:shd w:val="clear" w:color="auto" w:fill="FFFFFF"/>
        </w:rPr>
        <w:t>arts</w:t>
      </w:r>
      <w:proofErr w:type="spellEnd"/>
      <w:r w:rsidRPr="000E3ACE">
        <w:rPr>
          <w:rFonts w:ascii="Arial" w:hAnsi="Arial" w:cs="Arial"/>
          <w:color w:val="000000"/>
          <w:sz w:val="20"/>
          <w:szCs w:val="20"/>
          <w:shd w:val="clear" w:color="auto" w:fill="FFFFFF"/>
        </w:rPr>
        <w:t>. 37, XXI, da Constituição Federal, e 3º, § 1º, I, da Lei Federal nº 8.666/93.</w:t>
      </w:r>
    </w:p>
    <w:p w:rsidR="003C7C21" w:rsidRDefault="003C7C21" w:rsidP="00BB5D1E">
      <w:pPr>
        <w:autoSpaceDE w:val="0"/>
        <w:autoSpaceDN w:val="0"/>
        <w:adjustRightInd w:val="0"/>
        <w:spacing w:after="0"/>
        <w:jc w:val="both"/>
        <w:rPr>
          <w:rFonts w:ascii="Arial" w:hAnsi="Arial" w:cs="Arial"/>
          <w:color w:val="000000"/>
          <w:sz w:val="20"/>
          <w:szCs w:val="20"/>
          <w:shd w:val="clear" w:color="auto" w:fill="FFFFFF"/>
        </w:rPr>
      </w:pPr>
    </w:p>
    <w:p w:rsidR="000E3ACE" w:rsidRDefault="000E3ACE" w:rsidP="00BB5D1E">
      <w:pPr>
        <w:autoSpaceDE w:val="0"/>
        <w:autoSpaceDN w:val="0"/>
        <w:adjustRightInd w:val="0"/>
        <w:spacing w:after="0"/>
        <w:jc w:val="both"/>
        <w:rPr>
          <w:rFonts w:ascii="Arial" w:hAnsi="Arial" w:cs="Arial"/>
          <w:color w:val="000000"/>
          <w:sz w:val="20"/>
          <w:szCs w:val="20"/>
          <w:shd w:val="clear" w:color="auto" w:fill="FFFFFF"/>
        </w:rPr>
      </w:pPr>
      <w:r w:rsidRPr="007B2ADE">
        <w:rPr>
          <w:rFonts w:ascii="Arial" w:hAnsi="Arial" w:cs="Arial"/>
          <w:color w:val="000000"/>
          <w:sz w:val="20"/>
          <w:szCs w:val="20"/>
          <w:shd w:val="clear" w:color="auto" w:fill="FFFFFF"/>
        </w:rPr>
        <w:t xml:space="preserve">Processo n° </w:t>
      </w:r>
      <w:r w:rsidR="007752E2">
        <w:rPr>
          <w:rFonts w:ascii="Arial" w:hAnsi="Arial" w:cs="Arial"/>
          <w:color w:val="000000"/>
          <w:sz w:val="20"/>
          <w:szCs w:val="20"/>
          <w:shd w:val="clear" w:color="auto" w:fill="FFFFFF"/>
        </w:rPr>
        <w:t>210984</w:t>
      </w:r>
      <w:r w:rsidRPr="00540B8E">
        <w:rPr>
          <w:rFonts w:ascii="Arial" w:hAnsi="Arial" w:cs="Arial"/>
          <w:color w:val="000000"/>
          <w:sz w:val="20"/>
          <w:szCs w:val="20"/>
          <w:shd w:val="clear" w:color="auto" w:fill="FFFFFF"/>
        </w:rPr>
        <w:t>/</w:t>
      </w:r>
      <w:r w:rsidR="007752E2">
        <w:rPr>
          <w:rFonts w:ascii="Arial" w:hAnsi="Arial" w:cs="Arial"/>
          <w:color w:val="000000"/>
          <w:sz w:val="20"/>
          <w:szCs w:val="20"/>
          <w:shd w:val="clear" w:color="auto" w:fill="FFFFFF"/>
        </w:rPr>
        <w:t>17</w:t>
      </w:r>
      <w:r w:rsidRPr="007B2ADE">
        <w:rPr>
          <w:rFonts w:ascii="Arial" w:hAnsi="Arial" w:cs="Arial"/>
          <w:color w:val="000000"/>
          <w:sz w:val="20"/>
          <w:szCs w:val="20"/>
          <w:shd w:val="clear" w:color="auto" w:fill="FFFFFF"/>
        </w:rPr>
        <w:t xml:space="preserve"> - </w:t>
      </w:r>
      <w:hyperlink r:id="rId14" w:history="1">
        <w:r w:rsidRPr="007752E2">
          <w:rPr>
            <w:rStyle w:val="Hyperlink"/>
            <w:rFonts w:ascii="Arial" w:hAnsi="Arial" w:cs="Arial"/>
            <w:sz w:val="20"/>
            <w:szCs w:val="20"/>
            <w:shd w:val="clear" w:color="auto" w:fill="FFFFFF"/>
          </w:rPr>
          <w:t>Acórdão n° 138</w:t>
        </w:r>
        <w:r w:rsidR="007752E2" w:rsidRPr="007752E2">
          <w:rPr>
            <w:rStyle w:val="Hyperlink"/>
            <w:rFonts w:ascii="Arial" w:hAnsi="Arial" w:cs="Arial"/>
            <w:sz w:val="20"/>
            <w:szCs w:val="20"/>
            <w:shd w:val="clear" w:color="auto" w:fill="FFFFFF"/>
          </w:rPr>
          <w:t>8</w:t>
        </w:r>
        <w:r w:rsidRPr="007752E2">
          <w:rPr>
            <w:rStyle w:val="Hyperlink"/>
            <w:rFonts w:ascii="Arial" w:hAnsi="Arial" w:cs="Arial"/>
            <w:sz w:val="20"/>
            <w:szCs w:val="20"/>
            <w:shd w:val="clear" w:color="auto" w:fill="FFFFFF"/>
          </w:rPr>
          <w:t>/17 - Tribunal Pleno</w:t>
        </w:r>
      </w:hyperlink>
      <w:r w:rsidRPr="007B2ADE">
        <w:rPr>
          <w:rFonts w:ascii="Arial" w:hAnsi="Arial" w:cs="Arial"/>
          <w:color w:val="000000"/>
          <w:sz w:val="20"/>
          <w:szCs w:val="20"/>
          <w:shd w:val="clear" w:color="auto" w:fill="FFFFFF"/>
        </w:rPr>
        <w:t xml:space="preserve"> - Rel. Cons</w:t>
      </w:r>
      <w:r>
        <w:rPr>
          <w:rFonts w:ascii="Arial" w:hAnsi="Arial" w:cs="Arial"/>
          <w:color w:val="000000"/>
          <w:sz w:val="20"/>
          <w:szCs w:val="20"/>
          <w:shd w:val="clear" w:color="auto" w:fill="FFFFFF"/>
        </w:rPr>
        <w:t xml:space="preserve">elheiro </w:t>
      </w:r>
      <w:r w:rsidR="007752E2" w:rsidRPr="007752E2">
        <w:rPr>
          <w:rFonts w:ascii="Arial" w:hAnsi="Arial" w:cs="Arial"/>
          <w:color w:val="000000"/>
          <w:sz w:val="20"/>
          <w:szCs w:val="20"/>
          <w:shd w:val="clear" w:color="auto" w:fill="FFFFFF"/>
        </w:rPr>
        <w:t>Ivens Zschoerper Linhares.</w:t>
      </w:r>
    </w:p>
    <w:p w:rsidR="006D1B83" w:rsidRPr="00BB7ED6" w:rsidRDefault="006D1B83" w:rsidP="00BB5D1E">
      <w:pPr>
        <w:autoSpaceDE w:val="0"/>
        <w:autoSpaceDN w:val="0"/>
        <w:adjustRightInd w:val="0"/>
        <w:spacing w:after="0"/>
        <w:jc w:val="both"/>
        <w:rPr>
          <w:rFonts w:ascii="Arial" w:hAnsi="Arial" w:cs="Arial"/>
          <w:color w:val="000000"/>
          <w:sz w:val="20"/>
          <w:szCs w:val="20"/>
          <w:shd w:val="clear" w:color="auto" w:fill="FFFFFF"/>
        </w:rPr>
      </w:pPr>
    </w:p>
    <w:p w:rsidR="00BB7ED6" w:rsidRDefault="006C058F" w:rsidP="00BB5D1E">
      <w:pPr>
        <w:autoSpaceDE w:val="0"/>
        <w:autoSpaceDN w:val="0"/>
        <w:adjustRightInd w:val="0"/>
        <w:spacing w:after="0"/>
        <w:jc w:val="both"/>
        <w:rPr>
          <w:rFonts w:ascii="Arial" w:hAnsi="Arial" w:cs="Arial"/>
          <w:b/>
          <w:color w:val="000000"/>
          <w:sz w:val="20"/>
          <w:szCs w:val="20"/>
          <w:shd w:val="clear" w:color="auto" w:fill="FFFFFF"/>
        </w:rPr>
      </w:pPr>
      <w:r>
        <w:rPr>
          <w:rFonts w:ascii="Arial" w:hAnsi="Arial" w:cs="Arial"/>
          <w:b/>
          <w:color w:val="000000"/>
          <w:sz w:val="20"/>
          <w:szCs w:val="20"/>
          <w:shd w:val="clear" w:color="auto" w:fill="FFFFFF"/>
        </w:rPr>
        <w:t xml:space="preserve">8. </w:t>
      </w:r>
      <w:r w:rsidR="00BB7ED6" w:rsidRPr="004C13DB">
        <w:rPr>
          <w:rFonts w:ascii="Arial" w:hAnsi="Arial" w:cs="Arial"/>
          <w:b/>
          <w:color w:val="000000"/>
          <w:sz w:val="20"/>
          <w:szCs w:val="20"/>
          <w:shd w:val="clear" w:color="auto" w:fill="FFFFFF"/>
        </w:rPr>
        <w:t xml:space="preserve">Pedido de Rescisão. Novos elementos. Recolhimentos de valores recebidos a maior. Prejulgado nº </w:t>
      </w:r>
      <w:r w:rsidR="00E93C8B">
        <w:rPr>
          <w:rFonts w:ascii="Arial" w:hAnsi="Arial" w:cs="Arial"/>
          <w:b/>
          <w:color w:val="000000"/>
          <w:sz w:val="20"/>
          <w:szCs w:val="20"/>
          <w:shd w:val="clear" w:color="auto" w:fill="FFFFFF"/>
        </w:rPr>
        <w:t>0</w:t>
      </w:r>
      <w:r w:rsidR="00BB7ED6" w:rsidRPr="004C13DB">
        <w:rPr>
          <w:rFonts w:ascii="Arial" w:hAnsi="Arial" w:cs="Arial"/>
          <w:b/>
          <w:color w:val="000000"/>
          <w:sz w:val="20"/>
          <w:szCs w:val="20"/>
          <w:shd w:val="clear" w:color="auto" w:fill="FFFFFF"/>
        </w:rPr>
        <w:t>4/TCE</w:t>
      </w:r>
      <w:r w:rsidR="00E93C8B">
        <w:rPr>
          <w:rFonts w:ascii="Arial" w:hAnsi="Arial" w:cs="Arial"/>
          <w:b/>
          <w:color w:val="000000"/>
          <w:sz w:val="20"/>
          <w:szCs w:val="20"/>
          <w:shd w:val="clear" w:color="auto" w:fill="FFFFFF"/>
        </w:rPr>
        <w:t>-</w:t>
      </w:r>
      <w:r w:rsidR="00BB7ED6" w:rsidRPr="004C13DB">
        <w:rPr>
          <w:rFonts w:ascii="Arial" w:hAnsi="Arial" w:cs="Arial"/>
          <w:b/>
          <w:color w:val="000000"/>
          <w:sz w:val="20"/>
          <w:szCs w:val="20"/>
          <w:shd w:val="clear" w:color="auto" w:fill="FFFFFF"/>
        </w:rPr>
        <w:t>PR.</w:t>
      </w:r>
      <w:r w:rsidR="004C13DB" w:rsidRPr="004C13DB">
        <w:rPr>
          <w:rFonts w:ascii="Arial" w:hAnsi="Arial" w:cs="Arial"/>
          <w:b/>
          <w:color w:val="000000"/>
          <w:sz w:val="20"/>
          <w:szCs w:val="20"/>
          <w:shd w:val="clear" w:color="auto" w:fill="FFFFFF"/>
        </w:rPr>
        <w:t xml:space="preserve"> Documentos produzidos posteriormente ao julgamento.</w:t>
      </w:r>
      <w:r w:rsidR="00BB7ED6" w:rsidRPr="004C13DB">
        <w:rPr>
          <w:rFonts w:ascii="Arial" w:hAnsi="Arial" w:cs="Arial"/>
          <w:b/>
          <w:color w:val="000000"/>
          <w:sz w:val="20"/>
          <w:szCs w:val="20"/>
          <w:shd w:val="clear" w:color="auto" w:fill="FFFFFF"/>
        </w:rPr>
        <w:t xml:space="preserve"> </w:t>
      </w:r>
    </w:p>
    <w:p w:rsidR="00BB5D1E" w:rsidRPr="004C13DB" w:rsidRDefault="00BB5D1E" w:rsidP="00BB5D1E">
      <w:pPr>
        <w:autoSpaceDE w:val="0"/>
        <w:autoSpaceDN w:val="0"/>
        <w:adjustRightInd w:val="0"/>
        <w:spacing w:after="0"/>
        <w:jc w:val="both"/>
        <w:rPr>
          <w:rFonts w:ascii="Arial" w:hAnsi="Arial" w:cs="Arial"/>
          <w:b/>
          <w:color w:val="000000"/>
          <w:sz w:val="20"/>
          <w:szCs w:val="20"/>
          <w:shd w:val="clear" w:color="auto" w:fill="FFFFFF"/>
        </w:rPr>
      </w:pPr>
    </w:p>
    <w:p w:rsidR="005C4763" w:rsidRDefault="00BB7ED6" w:rsidP="00BB5D1E">
      <w:pPr>
        <w:autoSpaceDE w:val="0"/>
        <w:autoSpaceDN w:val="0"/>
        <w:adjustRightInd w:val="0"/>
        <w:spacing w:after="0"/>
        <w:jc w:val="both"/>
        <w:rPr>
          <w:rFonts w:ascii="Arial" w:hAnsi="Arial" w:cs="Arial"/>
          <w:color w:val="000000"/>
          <w:sz w:val="20"/>
          <w:szCs w:val="20"/>
          <w:shd w:val="clear" w:color="auto" w:fill="FFFFFF"/>
        </w:rPr>
      </w:pPr>
      <w:r w:rsidRPr="00BB7ED6">
        <w:rPr>
          <w:rFonts w:ascii="Arial" w:hAnsi="Arial" w:cs="Arial"/>
          <w:color w:val="000000"/>
          <w:sz w:val="20"/>
          <w:szCs w:val="20"/>
          <w:shd w:val="clear" w:color="auto" w:fill="FFFFFF"/>
        </w:rPr>
        <w:t xml:space="preserve">O recolhimento dos subsídios percebidos a maior, após julgamento do Tribunal de </w:t>
      </w:r>
      <w:r>
        <w:rPr>
          <w:rFonts w:ascii="Arial" w:hAnsi="Arial" w:cs="Arial"/>
          <w:color w:val="000000"/>
          <w:sz w:val="20"/>
          <w:szCs w:val="20"/>
          <w:shd w:val="clear" w:color="auto" w:fill="FFFFFF"/>
        </w:rPr>
        <w:t>C</w:t>
      </w:r>
      <w:r w:rsidRPr="00BB7ED6">
        <w:rPr>
          <w:rFonts w:ascii="Arial" w:hAnsi="Arial" w:cs="Arial"/>
          <w:color w:val="000000"/>
          <w:sz w:val="20"/>
          <w:szCs w:val="20"/>
          <w:shd w:val="clear" w:color="auto" w:fill="FFFFFF"/>
        </w:rPr>
        <w:t xml:space="preserve">ontas determinando essa restituição, não configura novo elemento de prova para fins de Pedido de Rescisão. Conforme definição no Prejulgado nº 4/TCEPR, </w:t>
      </w:r>
      <w:r w:rsidRPr="00E93C8B">
        <w:rPr>
          <w:rFonts w:ascii="Arial" w:hAnsi="Arial" w:cs="Arial"/>
          <w:i/>
          <w:color w:val="000000"/>
          <w:sz w:val="20"/>
          <w:szCs w:val="20"/>
          <w:shd w:val="clear" w:color="auto" w:fill="FFFFFF"/>
        </w:rPr>
        <w:t>“p</w:t>
      </w:r>
      <w:r w:rsidR="005C4763" w:rsidRPr="00E93C8B">
        <w:rPr>
          <w:rFonts w:ascii="Arial" w:hAnsi="Arial" w:cs="Arial"/>
          <w:i/>
          <w:color w:val="000000"/>
          <w:sz w:val="20"/>
          <w:szCs w:val="20"/>
          <w:shd w:val="clear" w:color="auto" w:fill="FFFFFF"/>
        </w:rPr>
        <w:t>or superveniência de novos elementos de prova capazes de desconstituir os anteriormente produzidos entende-se como um documento desconhecido pelo Tribunal no momento da decisão, mas existente à época dos fatos. E também por aquele que deveria ter sido produzido à época e não</w:t>
      </w:r>
      <w:r w:rsidRPr="00E93C8B">
        <w:rPr>
          <w:rFonts w:ascii="Arial" w:hAnsi="Arial" w:cs="Arial"/>
          <w:i/>
          <w:color w:val="000000"/>
          <w:sz w:val="20"/>
          <w:szCs w:val="20"/>
          <w:shd w:val="clear" w:color="auto" w:fill="FFFFFF"/>
        </w:rPr>
        <w:t xml:space="preserve"> foi, mas reflete fato anterior”.</w:t>
      </w:r>
      <w:r w:rsidRPr="00BB7ED6">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Nessa situação, o recolhimento dos valores recebidos a maior configuraria o mero cumprimento da decisão da Corte de Contas.</w:t>
      </w:r>
    </w:p>
    <w:p w:rsidR="003C7C21" w:rsidRPr="00BB7ED6" w:rsidRDefault="003C7C21" w:rsidP="00BB5D1E">
      <w:pPr>
        <w:autoSpaceDE w:val="0"/>
        <w:autoSpaceDN w:val="0"/>
        <w:adjustRightInd w:val="0"/>
        <w:spacing w:after="0"/>
        <w:jc w:val="both"/>
        <w:rPr>
          <w:rFonts w:ascii="Arial" w:hAnsi="Arial" w:cs="Arial"/>
          <w:color w:val="000000"/>
          <w:sz w:val="20"/>
          <w:szCs w:val="20"/>
          <w:shd w:val="clear" w:color="auto" w:fill="FFFFFF"/>
        </w:rPr>
      </w:pPr>
    </w:p>
    <w:p w:rsidR="004C13DB" w:rsidRDefault="004C13DB" w:rsidP="00BB5D1E">
      <w:pPr>
        <w:autoSpaceDE w:val="0"/>
        <w:autoSpaceDN w:val="0"/>
        <w:adjustRightInd w:val="0"/>
        <w:spacing w:after="0"/>
        <w:jc w:val="both"/>
        <w:rPr>
          <w:rFonts w:ascii="Arial" w:hAnsi="Arial" w:cs="Arial"/>
          <w:color w:val="000000"/>
          <w:sz w:val="20"/>
          <w:szCs w:val="20"/>
          <w:shd w:val="clear" w:color="auto" w:fill="FFFFFF"/>
        </w:rPr>
      </w:pPr>
      <w:r w:rsidRPr="007B2ADE">
        <w:rPr>
          <w:rFonts w:ascii="Arial" w:hAnsi="Arial" w:cs="Arial"/>
          <w:color w:val="000000"/>
          <w:sz w:val="20"/>
          <w:szCs w:val="20"/>
          <w:shd w:val="clear" w:color="auto" w:fill="FFFFFF"/>
        </w:rPr>
        <w:t xml:space="preserve">Processo n° </w:t>
      </w:r>
      <w:r>
        <w:rPr>
          <w:rFonts w:ascii="Arial" w:hAnsi="Arial" w:cs="Arial"/>
          <w:color w:val="000000"/>
          <w:sz w:val="20"/>
          <w:szCs w:val="20"/>
          <w:shd w:val="clear" w:color="auto" w:fill="FFFFFF"/>
        </w:rPr>
        <w:t>601971</w:t>
      </w:r>
      <w:r w:rsidRPr="00540B8E">
        <w:rPr>
          <w:rFonts w:ascii="Arial" w:hAnsi="Arial" w:cs="Arial"/>
          <w:color w:val="000000"/>
          <w:sz w:val="20"/>
          <w:szCs w:val="20"/>
          <w:shd w:val="clear" w:color="auto" w:fill="FFFFFF"/>
        </w:rPr>
        <w:t>/</w:t>
      </w:r>
      <w:r>
        <w:rPr>
          <w:rFonts w:ascii="Arial" w:hAnsi="Arial" w:cs="Arial"/>
          <w:color w:val="000000"/>
          <w:sz w:val="20"/>
          <w:szCs w:val="20"/>
          <w:shd w:val="clear" w:color="auto" w:fill="FFFFFF"/>
        </w:rPr>
        <w:t>16</w:t>
      </w:r>
      <w:r w:rsidRPr="007B2ADE">
        <w:rPr>
          <w:rFonts w:ascii="Arial" w:hAnsi="Arial" w:cs="Arial"/>
          <w:color w:val="000000"/>
          <w:sz w:val="20"/>
          <w:szCs w:val="20"/>
          <w:shd w:val="clear" w:color="auto" w:fill="FFFFFF"/>
        </w:rPr>
        <w:t xml:space="preserve"> - </w:t>
      </w:r>
      <w:hyperlink r:id="rId15" w:history="1">
        <w:r w:rsidRPr="003E3E6A">
          <w:rPr>
            <w:rStyle w:val="Hyperlink"/>
            <w:rFonts w:ascii="Arial" w:hAnsi="Arial" w:cs="Arial"/>
            <w:sz w:val="20"/>
            <w:szCs w:val="20"/>
            <w:shd w:val="clear" w:color="auto" w:fill="FFFFFF"/>
          </w:rPr>
          <w:t>Acórdão n° 1382/17 - Tribunal Pleno</w:t>
        </w:r>
      </w:hyperlink>
      <w:r w:rsidRPr="007B2ADE">
        <w:rPr>
          <w:rFonts w:ascii="Arial" w:hAnsi="Arial" w:cs="Arial"/>
          <w:color w:val="000000"/>
          <w:sz w:val="20"/>
          <w:szCs w:val="20"/>
          <w:shd w:val="clear" w:color="auto" w:fill="FFFFFF"/>
        </w:rPr>
        <w:t xml:space="preserve"> - Rel. Cons</w:t>
      </w:r>
      <w:r>
        <w:rPr>
          <w:rFonts w:ascii="Arial" w:hAnsi="Arial" w:cs="Arial"/>
          <w:color w:val="000000"/>
          <w:sz w:val="20"/>
          <w:szCs w:val="20"/>
          <w:shd w:val="clear" w:color="auto" w:fill="FFFFFF"/>
        </w:rPr>
        <w:t xml:space="preserve">elheiro Ivan </w:t>
      </w:r>
      <w:proofErr w:type="spellStart"/>
      <w:r>
        <w:rPr>
          <w:rFonts w:ascii="Arial" w:hAnsi="Arial" w:cs="Arial"/>
          <w:color w:val="000000"/>
          <w:sz w:val="20"/>
          <w:szCs w:val="20"/>
          <w:shd w:val="clear" w:color="auto" w:fill="FFFFFF"/>
        </w:rPr>
        <w:t>Lelis</w:t>
      </w:r>
      <w:proofErr w:type="spellEnd"/>
      <w:r>
        <w:rPr>
          <w:rFonts w:ascii="Arial" w:hAnsi="Arial" w:cs="Arial"/>
          <w:color w:val="000000"/>
          <w:sz w:val="20"/>
          <w:szCs w:val="20"/>
          <w:shd w:val="clear" w:color="auto" w:fill="FFFFFF"/>
        </w:rPr>
        <w:t xml:space="preserve"> Bonilha.</w:t>
      </w:r>
    </w:p>
    <w:p w:rsidR="003E3E6A" w:rsidRDefault="003E3E6A" w:rsidP="00BB5D1E">
      <w:pPr>
        <w:autoSpaceDE w:val="0"/>
        <w:autoSpaceDN w:val="0"/>
        <w:adjustRightInd w:val="0"/>
        <w:spacing w:after="0"/>
        <w:jc w:val="both"/>
      </w:pPr>
    </w:p>
    <w:p w:rsidR="004624E9" w:rsidRDefault="006C058F" w:rsidP="00BB5D1E">
      <w:pPr>
        <w:autoSpaceDE w:val="0"/>
        <w:autoSpaceDN w:val="0"/>
        <w:adjustRightInd w:val="0"/>
        <w:spacing w:after="0"/>
        <w:jc w:val="both"/>
        <w:rPr>
          <w:rFonts w:ascii="Arial" w:hAnsi="Arial" w:cs="Arial"/>
          <w:b/>
          <w:color w:val="000000"/>
          <w:sz w:val="20"/>
          <w:szCs w:val="20"/>
          <w:shd w:val="clear" w:color="auto" w:fill="FFFFFF"/>
        </w:rPr>
      </w:pPr>
      <w:r>
        <w:rPr>
          <w:rFonts w:ascii="Arial" w:hAnsi="Arial" w:cs="Arial"/>
          <w:b/>
          <w:color w:val="000000"/>
          <w:sz w:val="20"/>
          <w:szCs w:val="20"/>
          <w:shd w:val="clear" w:color="auto" w:fill="FFFFFF"/>
        </w:rPr>
        <w:t xml:space="preserve">9. </w:t>
      </w:r>
      <w:r w:rsidR="001D6665" w:rsidRPr="001D6665">
        <w:rPr>
          <w:rFonts w:ascii="Arial" w:hAnsi="Arial" w:cs="Arial"/>
          <w:b/>
          <w:color w:val="000000"/>
          <w:sz w:val="20"/>
          <w:szCs w:val="20"/>
          <w:shd w:val="clear" w:color="auto" w:fill="FFFFFF"/>
        </w:rPr>
        <w:t>Representação. Improbidade Administrativa. Ação Civil Pública. Competência de Tribunal de Contas. Exaurimento.</w:t>
      </w:r>
    </w:p>
    <w:p w:rsidR="00BB5D1E" w:rsidRPr="001D6665" w:rsidRDefault="00BB5D1E" w:rsidP="00BB5D1E">
      <w:pPr>
        <w:autoSpaceDE w:val="0"/>
        <w:autoSpaceDN w:val="0"/>
        <w:adjustRightInd w:val="0"/>
        <w:spacing w:after="0"/>
        <w:jc w:val="both"/>
        <w:rPr>
          <w:rFonts w:ascii="Arial" w:hAnsi="Arial" w:cs="Arial"/>
          <w:b/>
          <w:color w:val="000000"/>
          <w:sz w:val="20"/>
          <w:szCs w:val="20"/>
          <w:shd w:val="clear" w:color="auto" w:fill="FFFFFF"/>
        </w:rPr>
      </w:pPr>
    </w:p>
    <w:p w:rsidR="004624E9" w:rsidRDefault="004624E9" w:rsidP="00BB5D1E">
      <w:pPr>
        <w:autoSpaceDE w:val="0"/>
        <w:autoSpaceDN w:val="0"/>
        <w:adjustRightInd w:val="0"/>
        <w:spacing w:after="0"/>
        <w:jc w:val="both"/>
        <w:rPr>
          <w:rFonts w:ascii="Arial" w:hAnsi="Arial" w:cs="Arial"/>
          <w:color w:val="000000"/>
          <w:sz w:val="20"/>
          <w:szCs w:val="20"/>
          <w:shd w:val="clear" w:color="auto" w:fill="FFFFFF"/>
        </w:rPr>
      </w:pPr>
      <w:r w:rsidRPr="004624E9">
        <w:rPr>
          <w:rFonts w:ascii="Arial" w:hAnsi="Arial" w:cs="Arial"/>
          <w:color w:val="000000"/>
          <w:sz w:val="20"/>
          <w:szCs w:val="20"/>
          <w:shd w:val="clear" w:color="auto" w:fill="FFFFFF"/>
        </w:rPr>
        <w:t xml:space="preserve">Não cabe ao Tribunal de Contas a aplicação de penalidade por fatos anteriores à Lei Complementar Estadual 113/2005, quando já houve a responsabilização dos agentes públicos no âmbito judicial, por Ação Civil Pública, com a devida condenação </w:t>
      </w:r>
      <w:r>
        <w:rPr>
          <w:rFonts w:ascii="Arial" w:hAnsi="Arial" w:cs="Arial"/>
          <w:color w:val="000000"/>
          <w:sz w:val="20"/>
          <w:szCs w:val="20"/>
          <w:shd w:val="clear" w:color="auto" w:fill="FFFFFF"/>
        </w:rPr>
        <w:t>à</w:t>
      </w:r>
      <w:r w:rsidRPr="004624E9">
        <w:rPr>
          <w:rFonts w:ascii="Arial" w:hAnsi="Arial" w:cs="Arial"/>
          <w:color w:val="000000"/>
          <w:sz w:val="20"/>
          <w:szCs w:val="20"/>
          <w:shd w:val="clear" w:color="auto" w:fill="FFFFFF"/>
        </w:rPr>
        <w:t xml:space="preserve"> restituição ao erário e aplicação das sanções da Lei 8.429/92. Em tal contexto, a decisão judicial já teria exaurido as medidas que poderiam ser eventualmente aplicadas por pela Corte de Contas.</w:t>
      </w:r>
    </w:p>
    <w:p w:rsidR="003C7C21" w:rsidRDefault="003C7C21" w:rsidP="00BB5D1E">
      <w:pPr>
        <w:autoSpaceDE w:val="0"/>
        <w:autoSpaceDN w:val="0"/>
        <w:adjustRightInd w:val="0"/>
        <w:spacing w:after="0"/>
        <w:jc w:val="both"/>
        <w:rPr>
          <w:rFonts w:ascii="Arial" w:hAnsi="Arial" w:cs="Arial"/>
          <w:color w:val="000000"/>
          <w:sz w:val="20"/>
          <w:szCs w:val="20"/>
          <w:shd w:val="clear" w:color="auto" w:fill="FFFFFF"/>
        </w:rPr>
      </w:pPr>
    </w:p>
    <w:p w:rsidR="0017455D" w:rsidRDefault="0017455D" w:rsidP="00BB5D1E">
      <w:pPr>
        <w:autoSpaceDE w:val="0"/>
        <w:autoSpaceDN w:val="0"/>
        <w:adjustRightInd w:val="0"/>
        <w:spacing w:after="0"/>
        <w:jc w:val="both"/>
        <w:rPr>
          <w:rFonts w:ascii="Arial" w:hAnsi="Arial" w:cs="Arial"/>
          <w:color w:val="000000"/>
          <w:sz w:val="20"/>
          <w:szCs w:val="20"/>
          <w:shd w:val="clear" w:color="auto" w:fill="FFFFFF"/>
        </w:rPr>
      </w:pPr>
      <w:r w:rsidRPr="007B2ADE">
        <w:rPr>
          <w:rFonts w:ascii="Arial" w:hAnsi="Arial" w:cs="Arial"/>
          <w:color w:val="000000"/>
          <w:sz w:val="20"/>
          <w:szCs w:val="20"/>
          <w:shd w:val="clear" w:color="auto" w:fill="FFFFFF"/>
        </w:rPr>
        <w:t xml:space="preserve">Processo n° </w:t>
      </w:r>
      <w:r>
        <w:rPr>
          <w:rFonts w:ascii="Arial" w:hAnsi="Arial" w:cs="Arial"/>
          <w:color w:val="000000"/>
          <w:sz w:val="20"/>
          <w:szCs w:val="20"/>
          <w:shd w:val="clear" w:color="auto" w:fill="FFFFFF"/>
        </w:rPr>
        <w:t>481697</w:t>
      </w:r>
      <w:r w:rsidRPr="00540B8E">
        <w:rPr>
          <w:rFonts w:ascii="Arial" w:hAnsi="Arial" w:cs="Arial"/>
          <w:color w:val="000000"/>
          <w:sz w:val="20"/>
          <w:szCs w:val="20"/>
          <w:shd w:val="clear" w:color="auto" w:fill="FFFFFF"/>
        </w:rPr>
        <w:t>/</w:t>
      </w:r>
      <w:r>
        <w:rPr>
          <w:rFonts w:ascii="Arial" w:hAnsi="Arial" w:cs="Arial"/>
          <w:color w:val="000000"/>
          <w:sz w:val="20"/>
          <w:szCs w:val="20"/>
          <w:shd w:val="clear" w:color="auto" w:fill="FFFFFF"/>
        </w:rPr>
        <w:t>04</w:t>
      </w:r>
      <w:r w:rsidRPr="007B2ADE">
        <w:rPr>
          <w:rFonts w:ascii="Arial" w:hAnsi="Arial" w:cs="Arial"/>
          <w:color w:val="000000"/>
          <w:sz w:val="20"/>
          <w:szCs w:val="20"/>
          <w:shd w:val="clear" w:color="auto" w:fill="FFFFFF"/>
        </w:rPr>
        <w:t xml:space="preserve"> - </w:t>
      </w:r>
      <w:hyperlink r:id="rId16" w:history="1">
        <w:r w:rsidRPr="0017455D">
          <w:rPr>
            <w:rStyle w:val="Hyperlink"/>
            <w:rFonts w:ascii="Arial" w:hAnsi="Arial" w:cs="Arial"/>
            <w:sz w:val="20"/>
            <w:szCs w:val="20"/>
            <w:shd w:val="clear" w:color="auto" w:fill="FFFFFF"/>
          </w:rPr>
          <w:t>Acórdão n° 1383/17 - Tribunal Pleno</w:t>
        </w:r>
      </w:hyperlink>
      <w:r w:rsidRPr="007B2ADE">
        <w:rPr>
          <w:rFonts w:ascii="Arial" w:hAnsi="Arial" w:cs="Arial"/>
          <w:color w:val="000000"/>
          <w:sz w:val="20"/>
          <w:szCs w:val="20"/>
          <w:shd w:val="clear" w:color="auto" w:fill="FFFFFF"/>
        </w:rPr>
        <w:t xml:space="preserve"> - Rel. Cons</w:t>
      </w:r>
      <w:r>
        <w:rPr>
          <w:rFonts w:ascii="Arial" w:hAnsi="Arial" w:cs="Arial"/>
          <w:color w:val="000000"/>
          <w:sz w:val="20"/>
          <w:szCs w:val="20"/>
          <w:shd w:val="clear" w:color="auto" w:fill="FFFFFF"/>
        </w:rPr>
        <w:t xml:space="preserve">elheiro Ivan </w:t>
      </w:r>
      <w:proofErr w:type="spellStart"/>
      <w:r>
        <w:rPr>
          <w:rFonts w:ascii="Arial" w:hAnsi="Arial" w:cs="Arial"/>
          <w:color w:val="000000"/>
          <w:sz w:val="20"/>
          <w:szCs w:val="20"/>
          <w:shd w:val="clear" w:color="auto" w:fill="FFFFFF"/>
        </w:rPr>
        <w:t>Lelis</w:t>
      </w:r>
      <w:proofErr w:type="spellEnd"/>
      <w:r>
        <w:rPr>
          <w:rFonts w:ascii="Arial" w:hAnsi="Arial" w:cs="Arial"/>
          <w:color w:val="000000"/>
          <w:sz w:val="20"/>
          <w:szCs w:val="20"/>
          <w:shd w:val="clear" w:color="auto" w:fill="FFFFFF"/>
        </w:rPr>
        <w:t xml:space="preserve"> Bonilha.</w:t>
      </w:r>
    </w:p>
    <w:p w:rsidR="00AD751D" w:rsidRDefault="00AD751D" w:rsidP="00BB5D1E">
      <w:pPr>
        <w:autoSpaceDE w:val="0"/>
        <w:autoSpaceDN w:val="0"/>
        <w:adjustRightInd w:val="0"/>
        <w:spacing w:after="0"/>
        <w:jc w:val="both"/>
        <w:rPr>
          <w:rFonts w:ascii="Arial" w:hAnsi="Arial" w:cs="Arial"/>
          <w:color w:val="000000"/>
          <w:sz w:val="20"/>
          <w:szCs w:val="20"/>
          <w:shd w:val="clear" w:color="auto" w:fill="FFFFFF"/>
        </w:rPr>
      </w:pPr>
    </w:p>
    <w:p w:rsidR="00E8762F" w:rsidRPr="00AA3A41" w:rsidRDefault="00E8762F" w:rsidP="00F46C32">
      <w:pPr>
        <w:autoSpaceDE w:val="0"/>
        <w:autoSpaceDN w:val="0"/>
        <w:adjustRightInd w:val="0"/>
        <w:spacing w:after="0" w:line="240" w:lineRule="auto"/>
        <w:jc w:val="both"/>
        <w:rPr>
          <w:rFonts w:ascii="Arial" w:hAnsi="Arial" w:cs="Arial"/>
          <w:sz w:val="20"/>
          <w:szCs w:val="20"/>
        </w:rPr>
      </w:pPr>
      <w:r w:rsidRPr="00AA3A41">
        <w:rPr>
          <w:rFonts w:ascii="Arial" w:hAnsi="Arial" w:cs="Arial"/>
          <w:sz w:val="20"/>
          <w:szCs w:val="20"/>
        </w:rPr>
        <w:t xml:space="preserve">Observações: </w:t>
      </w:r>
    </w:p>
    <w:p w:rsidR="005C4DB7" w:rsidRDefault="00E4415D" w:rsidP="00E8762F">
      <w:pPr>
        <w:rPr>
          <w:rFonts w:ascii="Arial" w:hAnsi="Arial" w:cs="Arial"/>
          <w:b/>
          <w:color w:val="000000"/>
          <w:sz w:val="20"/>
          <w:szCs w:val="20"/>
        </w:rPr>
      </w:pPr>
      <w:r w:rsidRPr="005C4DB7">
        <w:rPr>
          <w:rFonts w:ascii="Arial" w:hAnsi="Arial" w:cs="Arial"/>
          <w:noProof/>
          <w:sz w:val="20"/>
          <w:szCs w:val="20"/>
          <w:lang w:eastAsia="pt-BR"/>
        </w:rPr>
        <mc:AlternateContent>
          <mc:Choice Requires="wps">
            <w:drawing>
              <wp:anchor distT="0" distB="0" distL="114300" distR="114300" simplePos="0" relativeHeight="251665408" behindDoc="0" locked="0" layoutInCell="1" allowOverlap="1" wp14:anchorId="15D64EE6" wp14:editId="599D7F15">
                <wp:simplePos x="0" y="0"/>
                <wp:positionH relativeFrom="margin">
                  <wp:posOffset>-6985</wp:posOffset>
                </wp:positionH>
                <wp:positionV relativeFrom="paragraph">
                  <wp:posOffset>73660</wp:posOffset>
                </wp:positionV>
                <wp:extent cx="5499100" cy="0"/>
                <wp:effectExtent l="0" t="0" r="25400" b="57150"/>
                <wp:wrapNone/>
                <wp:docPr id="58" name="Conector reto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2638A7D" id="Conector reto 58"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" strokecolor="black [3200]" strokeweight="2pt">
                <v:shadow on="t" color="black" opacity="24903f" origin=",.5" offset="0,.55556mm"/>
                <w10:wrap anchorx="margin"/>
              </v:line>
            </w:pict>
          </mc:Fallback>
        </mc:AlternateContent>
      </w:r>
    </w:p>
    <w:p w:rsidR="0026477F" w:rsidRDefault="0026477F" w:rsidP="00027A03">
      <w:pPr>
        <w:spacing w:after="0"/>
        <w:rPr>
          <w:rFonts w:ascii="Arial" w:hAnsi="Arial" w:cs="Arial"/>
          <w:color w:val="000000"/>
          <w:sz w:val="20"/>
          <w:szCs w:val="20"/>
        </w:rPr>
      </w:pPr>
      <w:r w:rsidRPr="00AD528F">
        <w:rPr>
          <w:rFonts w:ascii="Arial" w:hAnsi="Arial" w:cs="Arial"/>
          <w:color w:val="000000"/>
          <w:sz w:val="20"/>
          <w:szCs w:val="20"/>
        </w:rPr>
        <w:t>Ju</w:t>
      </w:r>
      <w:r w:rsidR="00AD528F" w:rsidRPr="00AD528F">
        <w:rPr>
          <w:rFonts w:ascii="Arial" w:hAnsi="Arial" w:cs="Arial"/>
          <w:color w:val="000000"/>
          <w:sz w:val="20"/>
          <w:szCs w:val="20"/>
        </w:rPr>
        <w:t xml:space="preserve">risprudência Selecionada: </w:t>
      </w:r>
    </w:p>
    <w:p w:rsidR="00601974" w:rsidRDefault="00601974" w:rsidP="00027A03">
      <w:pPr>
        <w:spacing w:after="0"/>
        <w:rPr>
          <w:rFonts w:ascii="Arial" w:hAnsi="Arial" w:cs="Arial"/>
          <w:b/>
          <w:color w:val="000000"/>
          <w:sz w:val="20"/>
          <w:szCs w:val="20"/>
        </w:rPr>
      </w:pPr>
    </w:p>
    <w:p w:rsidR="006645D9" w:rsidRDefault="006645D9" w:rsidP="00027A03">
      <w:pPr>
        <w:spacing w:after="0"/>
        <w:rPr>
          <w:rFonts w:ascii="Arial" w:hAnsi="Arial" w:cs="Arial"/>
          <w:b/>
          <w:color w:val="000000"/>
          <w:sz w:val="20"/>
          <w:szCs w:val="20"/>
        </w:rPr>
      </w:pPr>
      <w:r>
        <w:rPr>
          <w:rFonts w:ascii="Arial" w:hAnsi="Arial" w:cs="Arial"/>
          <w:b/>
          <w:color w:val="000000"/>
          <w:sz w:val="20"/>
          <w:szCs w:val="20"/>
        </w:rPr>
        <w:t>Supremo Tribunal Federal:</w:t>
      </w:r>
    </w:p>
    <w:p w:rsidR="00E667B0" w:rsidRPr="00E667B0" w:rsidRDefault="00B33F79" w:rsidP="00027A03">
      <w:pPr>
        <w:spacing w:after="0"/>
        <w:rPr>
          <w:rFonts w:ascii="Arial" w:hAnsi="Arial" w:cs="Arial"/>
          <w:b/>
          <w:sz w:val="20"/>
          <w:szCs w:val="20"/>
        </w:rPr>
      </w:pPr>
      <w:hyperlink r:id="rId17" w:history="1">
        <w:proofErr w:type="spellStart"/>
        <w:r w:rsidR="00E667B0" w:rsidRPr="00E97E05">
          <w:rPr>
            <w:rStyle w:val="Hyperlink"/>
            <w:rFonts w:ascii="Arial" w:hAnsi="Arial" w:cs="Arial"/>
            <w:b/>
            <w:bCs/>
            <w:sz w:val="20"/>
            <w:szCs w:val="20"/>
            <w:shd w:val="clear" w:color="auto" w:fill="FFFFFF"/>
          </w:rPr>
          <w:t>Inq</w:t>
        </w:r>
        <w:proofErr w:type="spellEnd"/>
        <w:r w:rsidR="00E667B0" w:rsidRPr="00E97E05">
          <w:rPr>
            <w:rStyle w:val="Hyperlink"/>
            <w:rFonts w:ascii="Arial" w:hAnsi="Arial" w:cs="Arial"/>
            <w:b/>
            <w:bCs/>
            <w:sz w:val="20"/>
            <w:szCs w:val="20"/>
            <w:shd w:val="clear" w:color="auto" w:fill="FFFFFF"/>
          </w:rPr>
          <w:t>. 3753/DF</w:t>
        </w:r>
      </w:hyperlink>
      <w:r w:rsidR="00E667B0" w:rsidRPr="00E667B0">
        <w:rPr>
          <w:rFonts w:ascii="Arial" w:hAnsi="Arial" w:cs="Arial"/>
          <w:b/>
          <w:bCs/>
          <w:sz w:val="20"/>
          <w:szCs w:val="20"/>
          <w:shd w:val="clear" w:color="auto" w:fill="FFFFFF"/>
        </w:rPr>
        <w:t xml:space="preserve">, rel. Min. Luiz </w:t>
      </w:r>
      <w:proofErr w:type="spellStart"/>
      <w:r w:rsidR="00E667B0" w:rsidRPr="00E667B0">
        <w:rPr>
          <w:rFonts w:ascii="Arial" w:hAnsi="Arial" w:cs="Arial"/>
          <w:b/>
          <w:bCs/>
          <w:sz w:val="20"/>
          <w:szCs w:val="20"/>
          <w:shd w:val="clear" w:color="auto" w:fill="FFFFFF"/>
        </w:rPr>
        <w:t>Fux</w:t>
      </w:r>
      <w:proofErr w:type="spellEnd"/>
      <w:r w:rsidR="00E667B0" w:rsidRPr="00E667B0">
        <w:rPr>
          <w:rFonts w:ascii="Arial" w:hAnsi="Arial" w:cs="Arial"/>
          <w:b/>
          <w:bCs/>
          <w:sz w:val="20"/>
          <w:szCs w:val="20"/>
          <w:shd w:val="clear" w:color="auto" w:fill="FFFFFF"/>
        </w:rPr>
        <w:t xml:space="preserve">, julgamento em 18.4.2017. </w:t>
      </w:r>
    </w:p>
    <w:p w:rsidR="00170F9D" w:rsidRDefault="00170F9D" w:rsidP="00027A03">
      <w:pPr>
        <w:shd w:val="clear" w:color="auto" w:fill="FFFFFF"/>
        <w:spacing w:after="0"/>
        <w:textAlignment w:val="top"/>
        <w:rPr>
          <w:rFonts w:ascii="Arial" w:hAnsi="Arial" w:cs="Arial"/>
          <w:b/>
          <w:bCs/>
          <w:sz w:val="20"/>
          <w:szCs w:val="20"/>
        </w:rPr>
      </w:pPr>
    </w:p>
    <w:p w:rsidR="005503E5" w:rsidRPr="00717A58" w:rsidRDefault="00717A58" w:rsidP="00027A03">
      <w:pPr>
        <w:shd w:val="clear" w:color="auto" w:fill="FFFFFF"/>
        <w:spacing w:after="0"/>
        <w:textAlignment w:val="top"/>
        <w:rPr>
          <w:rFonts w:ascii="Arial" w:hAnsi="Arial" w:cs="Arial"/>
          <w:sz w:val="20"/>
          <w:szCs w:val="20"/>
        </w:rPr>
      </w:pPr>
      <w:r>
        <w:rPr>
          <w:rFonts w:ascii="Arial" w:hAnsi="Arial" w:cs="Arial"/>
          <w:b/>
          <w:bCs/>
          <w:sz w:val="20"/>
          <w:szCs w:val="20"/>
        </w:rPr>
        <w:t xml:space="preserve">Direito Penal. </w:t>
      </w:r>
      <w:r w:rsidR="005503E5" w:rsidRPr="00717A58">
        <w:rPr>
          <w:rFonts w:ascii="Arial" w:hAnsi="Arial" w:cs="Arial"/>
          <w:b/>
          <w:bCs/>
          <w:sz w:val="20"/>
          <w:szCs w:val="20"/>
        </w:rPr>
        <w:t>Crime de dispensa irregular de licitação</w:t>
      </w:r>
      <w:r>
        <w:rPr>
          <w:rFonts w:ascii="Arial" w:hAnsi="Arial" w:cs="Arial"/>
          <w:b/>
          <w:bCs/>
          <w:sz w:val="20"/>
          <w:szCs w:val="20"/>
        </w:rPr>
        <w:t>. D</w:t>
      </w:r>
      <w:r w:rsidR="005503E5" w:rsidRPr="00717A58">
        <w:rPr>
          <w:rFonts w:ascii="Arial" w:hAnsi="Arial" w:cs="Arial"/>
          <w:b/>
          <w:bCs/>
          <w:sz w:val="20"/>
          <w:szCs w:val="20"/>
        </w:rPr>
        <w:t>olo específico</w:t>
      </w:r>
      <w:r>
        <w:rPr>
          <w:rFonts w:ascii="Arial" w:hAnsi="Arial" w:cs="Arial"/>
          <w:b/>
          <w:bCs/>
          <w:sz w:val="20"/>
          <w:szCs w:val="20"/>
        </w:rPr>
        <w:t>.</w:t>
      </w:r>
    </w:p>
    <w:p w:rsidR="00170F9D" w:rsidRDefault="00170F9D" w:rsidP="00027A03">
      <w:pPr>
        <w:spacing w:after="0"/>
        <w:jc w:val="both"/>
        <w:rPr>
          <w:rFonts w:ascii="Arial" w:hAnsi="Arial" w:cs="Arial"/>
          <w:sz w:val="20"/>
          <w:szCs w:val="20"/>
          <w:shd w:val="clear" w:color="auto" w:fill="FFFFFF"/>
        </w:rPr>
      </w:pPr>
    </w:p>
    <w:p w:rsidR="0001200F" w:rsidRDefault="005503E5" w:rsidP="00027A03">
      <w:pPr>
        <w:spacing w:after="0"/>
        <w:jc w:val="both"/>
        <w:rPr>
          <w:rFonts w:ascii="Arial" w:hAnsi="Arial" w:cs="Arial"/>
          <w:sz w:val="20"/>
          <w:szCs w:val="20"/>
          <w:shd w:val="clear" w:color="auto" w:fill="FFFFFF"/>
        </w:rPr>
      </w:pPr>
      <w:r w:rsidRPr="00717A58">
        <w:rPr>
          <w:rFonts w:ascii="Arial" w:hAnsi="Arial" w:cs="Arial"/>
          <w:sz w:val="20"/>
          <w:szCs w:val="20"/>
          <w:shd w:val="clear" w:color="auto" w:fill="FFFFFF"/>
        </w:rPr>
        <w:t xml:space="preserve">A Primeira Turma, por maioria, rejeitou denúncia oferecida contra deputado federal, pela suposta prática do crime de dispensa de licitação fora das hipóteses previstas </w:t>
      </w:r>
      <w:r w:rsidR="0098550A">
        <w:rPr>
          <w:rFonts w:ascii="Arial" w:hAnsi="Arial" w:cs="Arial"/>
          <w:sz w:val="20"/>
          <w:szCs w:val="20"/>
          <w:shd w:val="clear" w:color="auto" w:fill="FFFFFF"/>
        </w:rPr>
        <w:t xml:space="preserve">na </w:t>
      </w:r>
      <w:r w:rsidRPr="00717A58">
        <w:rPr>
          <w:rFonts w:ascii="Arial" w:hAnsi="Arial" w:cs="Arial"/>
          <w:sz w:val="20"/>
          <w:szCs w:val="20"/>
          <w:shd w:val="clear" w:color="auto" w:fill="FFFFFF"/>
        </w:rPr>
        <w:t>Lei 8.666/1993, art. 89</w:t>
      </w:r>
      <w:r w:rsidR="0098550A">
        <w:rPr>
          <w:rFonts w:ascii="Arial" w:hAnsi="Arial" w:cs="Arial"/>
          <w:sz w:val="20"/>
          <w:szCs w:val="20"/>
          <w:shd w:val="clear" w:color="auto" w:fill="FFFFFF"/>
        </w:rPr>
        <w:t>.</w:t>
      </w:r>
      <w:r w:rsidR="00B018E8">
        <w:rPr>
          <w:rFonts w:ascii="Arial" w:hAnsi="Arial" w:cs="Arial"/>
          <w:sz w:val="20"/>
          <w:szCs w:val="20"/>
          <w:shd w:val="clear" w:color="auto" w:fill="FFFFFF"/>
        </w:rPr>
        <w:t xml:space="preserve"> </w:t>
      </w:r>
      <w:r w:rsidRPr="00717A58">
        <w:rPr>
          <w:rFonts w:ascii="Arial" w:hAnsi="Arial" w:cs="Arial"/>
          <w:sz w:val="20"/>
          <w:szCs w:val="20"/>
          <w:shd w:val="clear" w:color="auto" w:fill="FFFFFF"/>
        </w:rPr>
        <w:t>No caso, o investigado, na qualidade de secretário estadual de Educação e com base em parecer da Procuradoria Jurídica, teria homologado procedimento de inexigibilidade de licitação para aquisição de licenças de “software” para a sistematização organizacional de horários e grades escolares na rede pública estadual de Santa Catarina.</w:t>
      </w:r>
    </w:p>
    <w:p w:rsidR="00901036" w:rsidRDefault="00901036" w:rsidP="00027A03">
      <w:pPr>
        <w:spacing w:after="0"/>
        <w:jc w:val="both"/>
        <w:rPr>
          <w:rFonts w:ascii="Arial" w:hAnsi="Arial" w:cs="Arial"/>
          <w:sz w:val="20"/>
          <w:szCs w:val="20"/>
          <w:shd w:val="clear" w:color="auto" w:fill="FFFFFF"/>
        </w:rPr>
      </w:pPr>
    </w:p>
    <w:p w:rsidR="0001200F" w:rsidRDefault="005503E5" w:rsidP="00027A03">
      <w:pPr>
        <w:spacing w:after="0"/>
        <w:jc w:val="both"/>
        <w:rPr>
          <w:rFonts w:ascii="Arial" w:hAnsi="Arial" w:cs="Arial"/>
          <w:sz w:val="20"/>
          <w:szCs w:val="20"/>
          <w:shd w:val="clear" w:color="auto" w:fill="FFFFFF"/>
        </w:rPr>
      </w:pPr>
      <w:r w:rsidRPr="00717A58">
        <w:rPr>
          <w:rFonts w:ascii="Arial" w:hAnsi="Arial" w:cs="Arial"/>
          <w:sz w:val="20"/>
          <w:szCs w:val="20"/>
          <w:shd w:val="clear" w:color="auto" w:fill="FFFFFF"/>
        </w:rPr>
        <w:t>Na denúncia, o Ministério Público argumentou, com fundamento em laudo pericial, que existiam outros “softwares” igualmente aptos à finalidade almejada pela Secretaria de Educação, o que indicaria a necessidade de concorrência pública. Ademais, salientou que teria havido a prática de “</w:t>
      </w:r>
      <w:proofErr w:type="spellStart"/>
      <w:r w:rsidRPr="00717A58">
        <w:rPr>
          <w:rFonts w:ascii="Arial" w:hAnsi="Arial" w:cs="Arial"/>
          <w:sz w:val="20"/>
          <w:szCs w:val="20"/>
          <w:shd w:val="clear" w:color="auto" w:fill="FFFFFF"/>
        </w:rPr>
        <w:t>sobrepreço</w:t>
      </w:r>
      <w:proofErr w:type="spellEnd"/>
      <w:r w:rsidRPr="00717A58">
        <w:rPr>
          <w:rFonts w:ascii="Arial" w:hAnsi="Arial" w:cs="Arial"/>
          <w:sz w:val="20"/>
          <w:szCs w:val="20"/>
          <w:shd w:val="clear" w:color="auto" w:fill="FFFFFF"/>
        </w:rPr>
        <w:t>”.</w:t>
      </w:r>
    </w:p>
    <w:p w:rsidR="0001200F" w:rsidRDefault="0001200F" w:rsidP="00027A03">
      <w:pPr>
        <w:spacing w:after="0"/>
        <w:jc w:val="both"/>
        <w:rPr>
          <w:rFonts w:ascii="Arial" w:hAnsi="Arial" w:cs="Arial"/>
          <w:sz w:val="20"/>
          <w:szCs w:val="20"/>
          <w:shd w:val="clear" w:color="auto" w:fill="FFFFFF"/>
        </w:rPr>
      </w:pPr>
    </w:p>
    <w:p w:rsidR="00B018E8" w:rsidRDefault="005503E5" w:rsidP="00027A03">
      <w:pPr>
        <w:spacing w:after="0"/>
        <w:jc w:val="both"/>
        <w:rPr>
          <w:rFonts w:ascii="Arial" w:hAnsi="Arial" w:cs="Arial"/>
          <w:sz w:val="20"/>
          <w:szCs w:val="20"/>
          <w:shd w:val="clear" w:color="auto" w:fill="FFFFFF"/>
        </w:rPr>
      </w:pPr>
      <w:r w:rsidRPr="00717A58">
        <w:rPr>
          <w:rFonts w:ascii="Arial" w:hAnsi="Arial" w:cs="Arial"/>
          <w:sz w:val="20"/>
          <w:szCs w:val="20"/>
          <w:shd w:val="clear" w:color="auto" w:fill="FFFFFF"/>
        </w:rPr>
        <w:t>O Colegiado apontou que o laudo pericial constatou que o “software” da empresa escolhida tinha mais especificações do que os das concorrentes e era mais adequado ao seu objeto. Ressaltou também a ausência nos autos de prova de conluio com a empresa escolhida e de recebimento de qualquer vantagem econômica pelo então secretário.</w:t>
      </w:r>
      <w:r w:rsidR="00B018E8">
        <w:rPr>
          <w:rFonts w:ascii="Arial" w:hAnsi="Arial" w:cs="Arial"/>
          <w:sz w:val="20"/>
          <w:szCs w:val="20"/>
          <w:shd w:val="clear" w:color="auto" w:fill="FFFFFF"/>
        </w:rPr>
        <w:t xml:space="preserve"> </w:t>
      </w:r>
      <w:r w:rsidRPr="00717A58">
        <w:rPr>
          <w:rFonts w:ascii="Arial" w:hAnsi="Arial" w:cs="Arial"/>
          <w:sz w:val="20"/>
          <w:szCs w:val="20"/>
          <w:shd w:val="clear" w:color="auto" w:fill="FFFFFF"/>
        </w:rPr>
        <w:t xml:space="preserve">Frisou que, para a escolha do “software”, não houve qualquer participação pessoal do acusado. A tomada de decisão foi feita em procedimento </w:t>
      </w:r>
      <w:proofErr w:type="spellStart"/>
      <w:r w:rsidRPr="00717A58">
        <w:rPr>
          <w:rFonts w:ascii="Arial" w:hAnsi="Arial" w:cs="Arial"/>
          <w:sz w:val="20"/>
          <w:szCs w:val="20"/>
          <w:shd w:val="clear" w:color="auto" w:fill="FFFFFF"/>
        </w:rPr>
        <w:t>policêntrico</w:t>
      </w:r>
      <w:proofErr w:type="spellEnd"/>
      <w:r w:rsidRPr="00717A58">
        <w:rPr>
          <w:rFonts w:ascii="Arial" w:hAnsi="Arial" w:cs="Arial"/>
          <w:sz w:val="20"/>
          <w:szCs w:val="20"/>
          <w:shd w:val="clear" w:color="auto" w:fill="FFFFFF"/>
        </w:rPr>
        <w:t xml:space="preserve"> pelas instâncias técnicas envolvidas.</w:t>
      </w:r>
    </w:p>
    <w:p w:rsidR="00901036" w:rsidRDefault="00901036" w:rsidP="00027A03">
      <w:pPr>
        <w:spacing w:after="0"/>
        <w:jc w:val="both"/>
        <w:rPr>
          <w:rFonts w:ascii="Arial" w:hAnsi="Arial" w:cs="Arial"/>
          <w:sz w:val="20"/>
          <w:szCs w:val="20"/>
          <w:shd w:val="clear" w:color="auto" w:fill="FFFFFF"/>
        </w:rPr>
      </w:pPr>
    </w:p>
    <w:p w:rsidR="006045AF" w:rsidRDefault="005503E5" w:rsidP="00027A03">
      <w:pPr>
        <w:spacing w:after="0"/>
        <w:jc w:val="both"/>
        <w:rPr>
          <w:rFonts w:ascii="Arial" w:hAnsi="Arial" w:cs="Arial"/>
          <w:sz w:val="20"/>
          <w:szCs w:val="20"/>
          <w:shd w:val="clear" w:color="auto" w:fill="FFFFFF"/>
        </w:rPr>
      </w:pPr>
      <w:r w:rsidRPr="00717A58">
        <w:rPr>
          <w:rFonts w:ascii="Arial" w:hAnsi="Arial" w:cs="Arial"/>
          <w:sz w:val="20"/>
          <w:szCs w:val="20"/>
          <w:shd w:val="clear" w:color="auto" w:fill="FFFFFF"/>
        </w:rPr>
        <w:t>Por fim, asseverou que o crime previsto no art. 89 da Lei 8.666/1993 reclama o dolo, consubstanciado na vontade livre e consciente de praticar o ilícito penal, que não se faz presente quando o acusado atua com fulcro em parecer da Procuradoria Jurídica no sentido da inexigibilidade da licitação.</w:t>
      </w:r>
    </w:p>
    <w:p w:rsidR="006645D9" w:rsidRDefault="005503E5" w:rsidP="00027A03">
      <w:pPr>
        <w:spacing w:after="0"/>
        <w:jc w:val="both"/>
        <w:rPr>
          <w:rFonts w:ascii="Arial" w:hAnsi="Arial" w:cs="Arial"/>
          <w:b/>
          <w:color w:val="000000"/>
          <w:sz w:val="20"/>
          <w:szCs w:val="20"/>
        </w:rPr>
      </w:pPr>
      <w:r>
        <w:rPr>
          <w:rFonts w:ascii="Tahoma" w:hAnsi="Tahoma" w:cs="Tahoma"/>
          <w:color w:val="587E93"/>
          <w:sz w:val="17"/>
          <w:szCs w:val="17"/>
        </w:rPr>
        <w:br/>
      </w:r>
      <w:r w:rsidR="006645D9">
        <w:rPr>
          <w:rFonts w:ascii="Arial" w:hAnsi="Arial" w:cs="Arial"/>
          <w:b/>
          <w:color w:val="000000"/>
          <w:sz w:val="20"/>
          <w:szCs w:val="20"/>
        </w:rPr>
        <w:t>Superior Tribunal de Justiça:</w:t>
      </w:r>
    </w:p>
    <w:p w:rsidR="006645D9" w:rsidRDefault="006645D9" w:rsidP="00027A03">
      <w:pPr>
        <w:spacing w:after="0"/>
        <w:rPr>
          <w:rFonts w:ascii="Arial" w:hAnsi="Arial" w:cs="Arial"/>
          <w:b/>
          <w:color w:val="000000"/>
          <w:sz w:val="20"/>
          <w:szCs w:val="20"/>
        </w:rPr>
      </w:pPr>
    </w:p>
    <w:p w:rsidR="00701319" w:rsidRDefault="00B33F79" w:rsidP="00027A03">
      <w:pPr>
        <w:spacing w:after="0"/>
        <w:jc w:val="both"/>
        <w:rPr>
          <w:rStyle w:val="Forte"/>
          <w:rFonts w:ascii="Arial" w:hAnsi="Arial" w:cs="Arial"/>
          <w:sz w:val="20"/>
          <w:szCs w:val="20"/>
          <w:shd w:val="clear" w:color="auto" w:fill="FFFFFF"/>
        </w:rPr>
      </w:pPr>
      <w:hyperlink r:id="rId18" w:history="1">
        <w:r w:rsidR="00701319" w:rsidRPr="00EC4D4D">
          <w:rPr>
            <w:rStyle w:val="Hyperlink"/>
            <w:rFonts w:ascii="Arial" w:hAnsi="Arial" w:cs="Arial"/>
            <w:b/>
            <w:sz w:val="20"/>
            <w:szCs w:val="20"/>
            <w:shd w:val="clear" w:color="auto" w:fill="FFFFFF"/>
          </w:rPr>
          <w:t>MS 20.558-DF</w:t>
        </w:r>
      </w:hyperlink>
      <w:r w:rsidR="00701319" w:rsidRPr="00DD6B9B">
        <w:rPr>
          <w:rStyle w:val="Forte"/>
          <w:rFonts w:ascii="Arial" w:hAnsi="Arial" w:cs="Arial"/>
          <w:b w:val="0"/>
          <w:sz w:val="20"/>
          <w:szCs w:val="20"/>
          <w:shd w:val="clear" w:color="auto" w:fill="FFFFFF"/>
        </w:rPr>
        <w:t xml:space="preserve">, </w:t>
      </w:r>
      <w:r w:rsidR="00701319" w:rsidRPr="00701319">
        <w:rPr>
          <w:rStyle w:val="Forte"/>
          <w:rFonts w:ascii="Arial" w:hAnsi="Arial" w:cs="Arial"/>
          <w:sz w:val="20"/>
          <w:szCs w:val="20"/>
          <w:shd w:val="clear" w:color="auto" w:fill="FFFFFF"/>
        </w:rPr>
        <w:t>Rel. Min. Herman Benjamin, por unanimidade, julgado em 22/2/2017</w:t>
      </w:r>
      <w:r w:rsidR="005576BE">
        <w:rPr>
          <w:rStyle w:val="Forte"/>
          <w:rFonts w:ascii="Arial" w:hAnsi="Arial" w:cs="Arial"/>
          <w:sz w:val="20"/>
          <w:szCs w:val="20"/>
          <w:shd w:val="clear" w:color="auto" w:fill="FFFFFF"/>
        </w:rPr>
        <w:t xml:space="preserve">. </w:t>
      </w:r>
    </w:p>
    <w:p w:rsidR="005576BE" w:rsidRPr="00701319" w:rsidRDefault="005576BE" w:rsidP="00027A03">
      <w:pPr>
        <w:spacing w:after="0"/>
        <w:jc w:val="both"/>
        <w:rPr>
          <w:rFonts w:ascii="Arial" w:hAnsi="Arial" w:cs="Arial"/>
          <w:b/>
          <w:sz w:val="20"/>
          <w:szCs w:val="20"/>
        </w:rPr>
      </w:pPr>
    </w:p>
    <w:p w:rsidR="00701319" w:rsidRPr="00027A03" w:rsidRDefault="00701319" w:rsidP="00027A03">
      <w:pPr>
        <w:spacing w:after="0"/>
        <w:jc w:val="both"/>
        <w:rPr>
          <w:rFonts w:ascii="Arial" w:hAnsi="Arial" w:cs="Arial"/>
          <w:b/>
          <w:sz w:val="20"/>
          <w:szCs w:val="20"/>
        </w:rPr>
      </w:pPr>
      <w:r w:rsidRPr="00027A03">
        <w:rPr>
          <w:rFonts w:ascii="Arial" w:hAnsi="Arial" w:cs="Arial"/>
          <w:b/>
          <w:sz w:val="20"/>
          <w:szCs w:val="20"/>
          <w:shd w:val="clear" w:color="auto" w:fill="FFFFFF"/>
        </w:rPr>
        <w:t>Concurso público. Mandado de segurança pleiteando participação na segunda etapa. Ação ordinária para assegurar nomeação. Denegação da ordem que prejudica a procedência da demanda. Candidato nomeado para cargo público com amparo em medida judicial precária. Caso concreto. Excepcionalidade. Aposentadoria do impetrante.</w:t>
      </w:r>
    </w:p>
    <w:p w:rsidR="00701319" w:rsidRPr="00701319" w:rsidRDefault="00701319" w:rsidP="00027A03">
      <w:pPr>
        <w:spacing w:after="0"/>
        <w:jc w:val="both"/>
        <w:rPr>
          <w:rFonts w:ascii="Arial" w:hAnsi="Arial" w:cs="Arial"/>
          <w:b/>
          <w:sz w:val="20"/>
          <w:szCs w:val="20"/>
        </w:rPr>
      </w:pPr>
    </w:p>
    <w:p w:rsidR="00701319" w:rsidRPr="00701319" w:rsidRDefault="00701319" w:rsidP="00027A03">
      <w:pPr>
        <w:spacing w:after="0"/>
        <w:jc w:val="both"/>
        <w:rPr>
          <w:rFonts w:ascii="Arial" w:hAnsi="Arial" w:cs="Arial"/>
          <w:sz w:val="20"/>
          <w:szCs w:val="20"/>
          <w:shd w:val="clear" w:color="auto" w:fill="FFFFFF"/>
        </w:rPr>
      </w:pPr>
      <w:r w:rsidRPr="00701319">
        <w:rPr>
          <w:rFonts w:ascii="Arial" w:hAnsi="Arial" w:cs="Arial"/>
          <w:sz w:val="20"/>
          <w:szCs w:val="20"/>
          <w:shd w:val="clear" w:color="auto" w:fill="FFFFFF"/>
        </w:rPr>
        <w:t>Quando o exercício do cargo foi amparado por decisões judiciais precárias e o servidor se aposentou, antes do julgamento final de mandado de segurança, por tempo de contribuição durante esse exercício e após legítima contribuição ao sistema, a denegação posterior da segurança que inicialmente permitira ao servidor prosseguir no certame não pode ocasionar a cassação da aposentadoria.</w:t>
      </w:r>
    </w:p>
    <w:p w:rsidR="00701319" w:rsidRPr="00701319" w:rsidRDefault="00701319" w:rsidP="00027A03">
      <w:pPr>
        <w:spacing w:after="0"/>
        <w:jc w:val="both"/>
        <w:rPr>
          <w:rFonts w:ascii="Arial" w:hAnsi="Arial" w:cs="Arial"/>
          <w:sz w:val="20"/>
          <w:szCs w:val="20"/>
          <w:shd w:val="clear" w:color="auto" w:fill="FFFFFF"/>
        </w:rPr>
      </w:pPr>
    </w:p>
    <w:p w:rsidR="00701319" w:rsidRPr="00701319" w:rsidRDefault="00B33F79" w:rsidP="00027A03">
      <w:pPr>
        <w:spacing w:after="0"/>
        <w:jc w:val="both"/>
        <w:rPr>
          <w:rStyle w:val="Forte"/>
          <w:rFonts w:ascii="Arial" w:hAnsi="Arial" w:cs="Arial"/>
          <w:sz w:val="20"/>
          <w:szCs w:val="20"/>
          <w:shd w:val="clear" w:color="auto" w:fill="FFFFFF"/>
        </w:rPr>
      </w:pPr>
      <w:hyperlink r:id="rId19" w:history="1">
        <w:proofErr w:type="spellStart"/>
        <w:r w:rsidR="00701319" w:rsidRPr="00462F2A">
          <w:rPr>
            <w:rStyle w:val="Hyperlink"/>
            <w:rFonts w:ascii="Arial" w:hAnsi="Arial" w:cs="Arial"/>
            <w:b/>
            <w:sz w:val="20"/>
            <w:szCs w:val="20"/>
            <w:shd w:val="clear" w:color="auto" w:fill="FFFFFF"/>
          </w:rPr>
          <w:t>REsp</w:t>
        </w:r>
        <w:proofErr w:type="spellEnd"/>
        <w:r w:rsidR="00701319" w:rsidRPr="00462F2A">
          <w:rPr>
            <w:rStyle w:val="Hyperlink"/>
            <w:rFonts w:ascii="Arial" w:hAnsi="Arial" w:cs="Arial"/>
            <w:b/>
            <w:sz w:val="20"/>
            <w:szCs w:val="20"/>
            <w:shd w:val="clear" w:color="auto" w:fill="FFFFFF"/>
          </w:rPr>
          <w:t xml:space="preserve"> 1.514.673-RS</w:t>
        </w:r>
      </w:hyperlink>
      <w:r w:rsidR="00701319" w:rsidRPr="00701319">
        <w:rPr>
          <w:rStyle w:val="Forte"/>
          <w:rFonts w:ascii="Arial" w:hAnsi="Arial" w:cs="Arial"/>
          <w:sz w:val="20"/>
          <w:szCs w:val="20"/>
          <w:shd w:val="clear" w:color="auto" w:fill="FFFFFF"/>
        </w:rPr>
        <w:t>, Rel. Min. Regina Helena Costa, por unanimidade, julgado em 7/3/2017</w:t>
      </w:r>
      <w:r w:rsidR="005576BE">
        <w:rPr>
          <w:rStyle w:val="Forte"/>
          <w:rFonts w:ascii="Arial" w:hAnsi="Arial" w:cs="Arial"/>
          <w:sz w:val="20"/>
          <w:szCs w:val="20"/>
          <w:shd w:val="clear" w:color="auto" w:fill="FFFFFF"/>
        </w:rPr>
        <w:t xml:space="preserve">. </w:t>
      </w:r>
    </w:p>
    <w:p w:rsidR="00701319" w:rsidRPr="00701319" w:rsidRDefault="00701319" w:rsidP="00027A03">
      <w:pPr>
        <w:spacing w:after="0"/>
        <w:jc w:val="both"/>
        <w:rPr>
          <w:rStyle w:val="Forte"/>
          <w:rFonts w:ascii="Arial" w:hAnsi="Arial" w:cs="Arial"/>
          <w:sz w:val="20"/>
          <w:szCs w:val="20"/>
          <w:shd w:val="clear" w:color="auto" w:fill="FFFFFF"/>
        </w:rPr>
      </w:pPr>
    </w:p>
    <w:p w:rsidR="00701319" w:rsidRPr="00027A03" w:rsidRDefault="00701319" w:rsidP="00027A03">
      <w:pPr>
        <w:spacing w:after="0"/>
        <w:jc w:val="both"/>
        <w:rPr>
          <w:rFonts w:ascii="Arial" w:hAnsi="Arial" w:cs="Arial"/>
          <w:b/>
          <w:sz w:val="20"/>
          <w:szCs w:val="20"/>
          <w:shd w:val="clear" w:color="auto" w:fill="FFFFFF"/>
        </w:rPr>
      </w:pPr>
      <w:r w:rsidRPr="00027A03">
        <w:rPr>
          <w:rFonts w:ascii="Arial" w:hAnsi="Arial" w:cs="Arial"/>
          <w:b/>
          <w:sz w:val="20"/>
          <w:szCs w:val="20"/>
          <w:shd w:val="clear" w:color="auto" w:fill="FFFFFF"/>
        </w:rPr>
        <w:lastRenderedPageBreak/>
        <w:t>Servidor Público. Licença-prêmio não usufruída. Conversão em pecúnia. Inclusão do abono de permanência na base de cálculo.</w:t>
      </w:r>
    </w:p>
    <w:p w:rsidR="00701319" w:rsidRPr="00701319" w:rsidRDefault="00701319" w:rsidP="00027A03">
      <w:pPr>
        <w:spacing w:after="0"/>
        <w:jc w:val="both"/>
        <w:rPr>
          <w:rFonts w:ascii="Arial" w:hAnsi="Arial" w:cs="Arial"/>
          <w:sz w:val="20"/>
          <w:szCs w:val="20"/>
          <w:shd w:val="clear" w:color="auto" w:fill="FFFFFF"/>
        </w:rPr>
      </w:pPr>
    </w:p>
    <w:p w:rsidR="00701319" w:rsidRPr="00701319" w:rsidRDefault="00701319" w:rsidP="00027A03">
      <w:pPr>
        <w:spacing w:after="0"/>
        <w:jc w:val="both"/>
        <w:rPr>
          <w:rFonts w:ascii="Arial" w:hAnsi="Arial" w:cs="Arial"/>
          <w:b/>
          <w:sz w:val="20"/>
          <w:szCs w:val="20"/>
        </w:rPr>
      </w:pPr>
      <w:r w:rsidRPr="00701319">
        <w:rPr>
          <w:rFonts w:ascii="Arial" w:hAnsi="Arial" w:cs="Arial"/>
          <w:sz w:val="20"/>
          <w:szCs w:val="20"/>
          <w:shd w:val="clear" w:color="auto" w:fill="FFFFFF"/>
        </w:rPr>
        <w:t>O abono de permanência insere-se no conceito de remuneração do cargo efetivo, de forma a compor a base de cálculo da licença-prêmio não gozada.</w:t>
      </w:r>
    </w:p>
    <w:p w:rsidR="00701319" w:rsidRDefault="00701319" w:rsidP="00027A03">
      <w:pPr>
        <w:spacing w:after="0"/>
        <w:rPr>
          <w:rFonts w:ascii="Arial" w:hAnsi="Arial" w:cs="Arial"/>
          <w:b/>
          <w:color w:val="000000"/>
          <w:sz w:val="20"/>
          <w:szCs w:val="20"/>
        </w:rPr>
      </w:pPr>
    </w:p>
    <w:p w:rsidR="008633B6" w:rsidRPr="009A6989" w:rsidRDefault="008633B6" w:rsidP="00027A03">
      <w:pPr>
        <w:spacing w:after="0"/>
        <w:rPr>
          <w:rFonts w:ascii="Arial" w:hAnsi="Arial" w:cs="Arial"/>
          <w:b/>
          <w:color w:val="000000"/>
          <w:sz w:val="20"/>
          <w:szCs w:val="20"/>
        </w:rPr>
      </w:pPr>
      <w:r w:rsidRPr="009A6989">
        <w:rPr>
          <w:rFonts w:ascii="Arial" w:hAnsi="Arial" w:cs="Arial"/>
          <w:b/>
          <w:color w:val="000000"/>
          <w:sz w:val="20"/>
          <w:szCs w:val="20"/>
        </w:rPr>
        <w:t>Tribunal de Contas da União:</w:t>
      </w:r>
    </w:p>
    <w:p w:rsidR="00202F4B" w:rsidRDefault="00202F4B" w:rsidP="00027A03">
      <w:pPr>
        <w:spacing w:after="0"/>
        <w:jc w:val="both"/>
        <w:rPr>
          <w:rFonts w:ascii="Arial" w:hAnsi="Arial" w:cs="Arial"/>
          <w:b/>
          <w:color w:val="000000"/>
          <w:sz w:val="20"/>
          <w:szCs w:val="20"/>
        </w:rPr>
      </w:pPr>
    </w:p>
    <w:p w:rsidR="003C7C21" w:rsidRDefault="00B33F79" w:rsidP="00027A03">
      <w:pPr>
        <w:autoSpaceDE w:val="0"/>
        <w:autoSpaceDN w:val="0"/>
        <w:adjustRightInd w:val="0"/>
        <w:spacing w:after="0"/>
        <w:jc w:val="both"/>
        <w:rPr>
          <w:rFonts w:ascii="Arial" w:hAnsi="Arial" w:cs="Arial"/>
          <w:b/>
          <w:color w:val="000000"/>
          <w:sz w:val="20"/>
          <w:szCs w:val="20"/>
          <w:shd w:val="clear" w:color="auto" w:fill="FFFFFF"/>
        </w:rPr>
      </w:pPr>
      <w:hyperlink r:id="rId20" w:history="1">
        <w:r w:rsidR="00CE657B" w:rsidRPr="0067150D">
          <w:rPr>
            <w:rStyle w:val="Hyperlink"/>
            <w:rFonts w:ascii="Arial" w:hAnsi="Arial" w:cs="Arial"/>
            <w:b/>
            <w:sz w:val="20"/>
            <w:szCs w:val="20"/>
            <w:shd w:val="clear" w:color="auto" w:fill="FFFFFF"/>
          </w:rPr>
          <w:t>Acórdão</w:t>
        </w:r>
        <w:r w:rsidR="00CF237E" w:rsidRPr="0067150D">
          <w:rPr>
            <w:rStyle w:val="Hyperlink"/>
            <w:rFonts w:ascii="Arial" w:hAnsi="Arial" w:cs="Arial"/>
            <w:b/>
            <w:sz w:val="20"/>
            <w:szCs w:val="20"/>
            <w:shd w:val="clear" w:color="auto" w:fill="FFFFFF"/>
          </w:rPr>
          <w:t xml:space="preserve"> n° </w:t>
        </w:r>
        <w:r w:rsidR="00CE657B" w:rsidRPr="0067150D">
          <w:rPr>
            <w:rStyle w:val="Hyperlink"/>
            <w:rFonts w:ascii="Arial" w:hAnsi="Arial" w:cs="Arial"/>
            <w:b/>
            <w:sz w:val="20"/>
            <w:szCs w:val="20"/>
            <w:shd w:val="clear" w:color="auto" w:fill="FFFFFF"/>
          </w:rPr>
          <w:t>738/2017</w:t>
        </w:r>
        <w:r w:rsidR="00CF237E" w:rsidRPr="0067150D">
          <w:rPr>
            <w:rStyle w:val="Hyperlink"/>
            <w:rFonts w:ascii="Arial" w:hAnsi="Arial" w:cs="Arial"/>
            <w:b/>
            <w:sz w:val="20"/>
            <w:szCs w:val="20"/>
            <w:shd w:val="clear" w:color="auto" w:fill="FFFFFF"/>
          </w:rPr>
          <w:t xml:space="preserve"> - </w:t>
        </w:r>
        <w:r w:rsidR="00CE657B" w:rsidRPr="0067150D">
          <w:rPr>
            <w:rStyle w:val="Hyperlink"/>
            <w:rFonts w:ascii="Arial" w:hAnsi="Arial" w:cs="Arial"/>
            <w:b/>
            <w:sz w:val="20"/>
            <w:szCs w:val="20"/>
            <w:shd w:val="clear" w:color="auto" w:fill="FFFFFF"/>
          </w:rPr>
          <w:t>Plenário</w:t>
        </w:r>
      </w:hyperlink>
      <w:r w:rsidR="00CE657B" w:rsidRPr="00CE657B">
        <w:rPr>
          <w:rFonts w:ascii="Arial" w:hAnsi="Arial" w:cs="Arial"/>
          <w:b/>
          <w:color w:val="000000"/>
          <w:sz w:val="20"/>
          <w:szCs w:val="20"/>
          <w:shd w:val="clear" w:color="auto" w:fill="FFFFFF"/>
        </w:rPr>
        <w:t xml:space="preserve"> (Acompanhamento, Relator Mi</w:t>
      </w:r>
      <w:r w:rsidR="005237FD">
        <w:rPr>
          <w:rFonts w:ascii="Arial" w:hAnsi="Arial" w:cs="Arial"/>
          <w:b/>
          <w:color w:val="000000"/>
          <w:sz w:val="20"/>
          <w:szCs w:val="20"/>
          <w:shd w:val="clear" w:color="auto" w:fill="FFFFFF"/>
        </w:rPr>
        <w:t>nistro Walton Alencar Rodrigues</w:t>
      </w:r>
      <w:r w:rsidR="00CE657B" w:rsidRPr="00CE657B">
        <w:rPr>
          <w:rFonts w:ascii="Arial" w:hAnsi="Arial" w:cs="Arial"/>
          <w:b/>
          <w:color w:val="000000"/>
          <w:sz w:val="20"/>
          <w:szCs w:val="20"/>
          <w:shd w:val="clear" w:color="auto" w:fill="FFFFFF"/>
        </w:rPr>
        <w:t>)</w:t>
      </w:r>
    </w:p>
    <w:p w:rsidR="00CE657B" w:rsidRDefault="00CE657B" w:rsidP="00027A03">
      <w:pPr>
        <w:autoSpaceDE w:val="0"/>
        <w:autoSpaceDN w:val="0"/>
        <w:adjustRightInd w:val="0"/>
        <w:spacing w:after="0"/>
        <w:jc w:val="both"/>
        <w:rPr>
          <w:rFonts w:ascii="Arial" w:hAnsi="Arial" w:cs="Arial"/>
          <w:color w:val="000000"/>
          <w:sz w:val="20"/>
          <w:szCs w:val="20"/>
          <w:shd w:val="clear" w:color="auto" w:fill="FFFFFF"/>
        </w:rPr>
      </w:pPr>
      <w:r w:rsidRPr="00CE657B">
        <w:rPr>
          <w:rFonts w:ascii="Arial" w:hAnsi="Arial" w:cs="Arial"/>
          <w:color w:val="000000"/>
          <w:sz w:val="20"/>
          <w:szCs w:val="20"/>
          <w:shd w:val="clear" w:color="auto" w:fill="FFFFFF"/>
        </w:rPr>
        <w:t xml:space="preserve"> </w:t>
      </w:r>
    </w:p>
    <w:p w:rsidR="004D7DC5" w:rsidRPr="00027A03" w:rsidRDefault="00CE657B" w:rsidP="00027A03">
      <w:pPr>
        <w:autoSpaceDE w:val="0"/>
        <w:autoSpaceDN w:val="0"/>
        <w:adjustRightInd w:val="0"/>
        <w:spacing w:after="0"/>
        <w:jc w:val="both"/>
        <w:rPr>
          <w:rFonts w:ascii="Arial" w:hAnsi="Arial" w:cs="Arial"/>
          <w:b/>
          <w:color w:val="000000"/>
          <w:sz w:val="20"/>
          <w:szCs w:val="20"/>
          <w:shd w:val="clear" w:color="auto" w:fill="FFFFFF"/>
        </w:rPr>
      </w:pPr>
      <w:r w:rsidRPr="00027A03">
        <w:rPr>
          <w:rFonts w:ascii="Arial" w:hAnsi="Arial" w:cs="Arial"/>
          <w:b/>
          <w:color w:val="000000"/>
          <w:sz w:val="20"/>
          <w:szCs w:val="20"/>
          <w:shd w:val="clear" w:color="auto" w:fill="FFFFFF"/>
        </w:rPr>
        <w:t xml:space="preserve">Desestatização. Concessão pública. Prorrogação. Reequilíbrio econômico-financeiro. Edital de licitação. </w:t>
      </w:r>
    </w:p>
    <w:p w:rsidR="004D7DC5" w:rsidRDefault="004D7DC5" w:rsidP="00027A03">
      <w:pPr>
        <w:autoSpaceDE w:val="0"/>
        <w:autoSpaceDN w:val="0"/>
        <w:adjustRightInd w:val="0"/>
        <w:spacing w:after="0"/>
        <w:jc w:val="both"/>
        <w:rPr>
          <w:rFonts w:ascii="Arial" w:hAnsi="Arial" w:cs="Arial"/>
          <w:color w:val="000000"/>
          <w:sz w:val="20"/>
          <w:szCs w:val="20"/>
          <w:shd w:val="clear" w:color="auto" w:fill="FFFFFF"/>
        </w:rPr>
      </w:pPr>
    </w:p>
    <w:p w:rsidR="00CE657B" w:rsidRDefault="00CE657B" w:rsidP="00027A03">
      <w:pPr>
        <w:autoSpaceDE w:val="0"/>
        <w:autoSpaceDN w:val="0"/>
        <w:adjustRightInd w:val="0"/>
        <w:spacing w:after="0"/>
        <w:jc w:val="both"/>
        <w:rPr>
          <w:rFonts w:ascii="Arial" w:hAnsi="Arial" w:cs="Arial"/>
          <w:color w:val="000000"/>
          <w:sz w:val="20"/>
          <w:szCs w:val="20"/>
          <w:shd w:val="clear" w:color="auto" w:fill="FFFFFF"/>
        </w:rPr>
      </w:pPr>
      <w:r w:rsidRPr="00CE657B">
        <w:rPr>
          <w:rFonts w:ascii="Arial" w:hAnsi="Arial" w:cs="Arial"/>
          <w:color w:val="000000"/>
          <w:sz w:val="20"/>
          <w:szCs w:val="20"/>
          <w:shd w:val="clear" w:color="auto" w:fill="FFFFFF"/>
        </w:rPr>
        <w:t>A prorrogação de concessão de serviço público, ainda que em razão de reequilíbrio econômico-financeiro, requer expressa autorização no instrumento convocatório e no contrato de concessão original (</w:t>
      </w:r>
      <w:proofErr w:type="spellStart"/>
      <w:r w:rsidRPr="00CE657B">
        <w:rPr>
          <w:rFonts w:ascii="Arial" w:hAnsi="Arial" w:cs="Arial"/>
          <w:color w:val="000000"/>
          <w:sz w:val="20"/>
          <w:szCs w:val="20"/>
          <w:shd w:val="clear" w:color="auto" w:fill="FFFFFF"/>
        </w:rPr>
        <w:t>arts</w:t>
      </w:r>
      <w:proofErr w:type="spellEnd"/>
      <w:r w:rsidRPr="00CE657B">
        <w:rPr>
          <w:rFonts w:ascii="Arial" w:hAnsi="Arial" w:cs="Arial"/>
          <w:color w:val="000000"/>
          <w:sz w:val="20"/>
          <w:szCs w:val="20"/>
          <w:shd w:val="clear" w:color="auto" w:fill="FFFFFF"/>
        </w:rPr>
        <w:t>. 3º, 41, 55, inciso XI, e 57, inciso I, da Lei 8.666/1993, e art. 14 da Lei 8.987/1995).</w:t>
      </w:r>
    </w:p>
    <w:p w:rsidR="00CE657B" w:rsidRDefault="00CE657B" w:rsidP="00027A03">
      <w:pPr>
        <w:autoSpaceDE w:val="0"/>
        <w:autoSpaceDN w:val="0"/>
        <w:adjustRightInd w:val="0"/>
        <w:spacing w:after="0"/>
        <w:jc w:val="both"/>
        <w:rPr>
          <w:rFonts w:ascii="Arial" w:hAnsi="Arial" w:cs="Arial"/>
          <w:color w:val="000000"/>
          <w:sz w:val="20"/>
          <w:szCs w:val="20"/>
          <w:shd w:val="clear" w:color="auto" w:fill="FFFFFF"/>
        </w:rPr>
      </w:pPr>
    </w:p>
    <w:p w:rsidR="00CE657B" w:rsidRDefault="00B33F79" w:rsidP="00027A03">
      <w:pPr>
        <w:autoSpaceDE w:val="0"/>
        <w:autoSpaceDN w:val="0"/>
        <w:adjustRightInd w:val="0"/>
        <w:spacing w:after="0"/>
        <w:jc w:val="both"/>
        <w:rPr>
          <w:rFonts w:ascii="Arial" w:hAnsi="Arial" w:cs="Arial"/>
          <w:color w:val="000000"/>
          <w:sz w:val="20"/>
          <w:szCs w:val="20"/>
          <w:shd w:val="clear" w:color="auto" w:fill="FFFFFF"/>
        </w:rPr>
      </w:pPr>
      <w:hyperlink r:id="rId21" w:history="1">
        <w:r w:rsidR="00CE657B" w:rsidRPr="00C9240A">
          <w:rPr>
            <w:rStyle w:val="Hyperlink"/>
            <w:rFonts w:ascii="Arial" w:hAnsi="Arial" w:cs="Arial"/>
            <w:b/>
            <w:sz w:val="20"/>
            <w:szCs w:val="20"/>
            <w:shd w:val="clear" w:color="auto" w:fill="FFFFFF"/>
          </w:rPr>
          <w:t>Acórdão</w:t>
        </w:r>
        <w:r w:rsidR="00CF237E" w:rsidRPr="00C9240A">
          <w:rPr>
            <w:rStyle w:val="Hyperlink"/>
            <w:rFonts w:ascii="Arial" w:hAnsi="Arial" w:cs="Arial"/>
            <w:b/>
            <w:sz w:val="20"/>
            <w:szCs w:val="20"/>
            <w:shd w:val="clear" w:color="auto" w:fill="FFFFFF"/>
          </w:rPr>
          <w:t xml:space="preserve"> n° </w:t>
        </w:r>
        <w:r w:rsidR="00CE657B" w:rsidRPr="00C9240A">
          <w:rPr>
            <w:rStyle w:val="Hyperlink"/>
            <w:rFonts w:ascii="Arial" w:hAnsi="Arial" w:cs="Arial"/>
            <w:b/>
            <w:sz w:val="20"/>
            <w:szCs w:val="20"/>
            <w:shd w:val="clear" w:color="auto" w:fill="FFFFFF"/>
          </w:rPr>
          <w:t xml:space="preserve">2194/2017 </w:t>
        </w:r>
        <w:r w:rsidR="00CF237E" w:rsidRPr="00C9240A">
          <w:rPr>
            <w:rStyle w:val="Hyperlink"/>
            <w:rFonts w:ascii="Arial" w:hAnsi="Arial" w:cs="Arial"/>
            <w:b/>
            <w:sz w:val="20"/>
            <w:szCs w:val="20"/>
            <w:shd w:val="clear" w:color="auto" w:fill="FFFFFF"/>
          </w:rPr>
          <w:t xml:space="preserve">- </w:t>
        </w:r>
        <w:r w:rsidR="00CE657B" w:rsidRPr="00C9240A">
          <w:rPr>
            <w:rStyle w:val="Hyperlink"/>
            <w:rFonts w:ascii="Arial" w:hAnsi="Arial" w:cs="Arial"/>
            <w:b/>
            <w:sz w:val="20"/>
            <w:szCs w:val="20"/>
            <w:shd w:val="clear" w:color="auto" w:fill="FFFFFF"/>
          </w:rPr>
          <w:t>Primeira Câmara</w:t>
        </w:r>
      </w:hyperlink>
      <w:r w:rsidR="00CE657B" w:rsidRPr="00CE657B">
        <w:rPr>
          <w:rFonts w:ascii="Arial" w:hAnsi="Arial" w:cs="Arial"/>
          <w:b/>
          <w:color w:val="000000"/>
          <w:sz w:val="20"/>
          <w:szCs w:val="20"/>
          <w:shd w:val="clear" w:color="auto" w:fill="FFFFFF"/>
        </w:rPr>
        <w:t xml:space="preserve"> (Representação, Relator Ministro-Substituto Augusto Sherman)</w:t>
      </w:r>
      <w:r w:rsidR="00CE657B" w:rsidRPr="00CE657B">
        <w:rPr>
          <w:rFonts w:ascii="Arial" w:hAnsi="Arial" w:cs="Arial"/>
          <w:color w:val="000000"/>
          <w:sz w:val="20"/>
          <w:szCs w:val="20"/>
          <w:shd w:val="clear" w:color="auto" w:fill="FFFFFF"/>
        </w:rPr>
        <w:t xml:space="preserve"> </w:t>
      </w:r>
    </w:p>
    <w:p w:rsidR="003C7C21" w:rsidRDefault="003C7C21" w:rsidP="00027A03">
      <w:pPr>
        <w:autoSpaceDE w:val="0"/>
        <w:autoSpaceDN w:val="0"/>
        <w:adjustRightInd w:val="0"/>
        <w:spacing w:after="0"/>
        <w:jc w:val="both"/>
        <w:rPr>
          <w:rFonts w:ascii="Arial" w:hAnsi="Arial" w:cs="Arial"/>
          <w:color w:val="000000"/>
          <w:sz w:val="20"/>
          <w:szCs w:val="20"/>
          <w:shd w:val="clear" w:color="auto" w:fill="FFFFFF"/>
        </w:rPr>
      </w:pPr>
    </w:p>
    <w:p w:rsidR="004D7DC5" w:rsidRPr="00027A03" w:rsidRDefault="00CE657B" w:rsidP="00027A03">
      <w:pPr>
        <w:autoSpaceDE w:val="0"/>
        <w:autoSpaceDN w:val="0"/>
        <w:adjustRightInd w:val="0"/>
        <w:spacing w:after="0"/>
        <w:jc w:val="both"/>
        <w:rPr>
          <w:rFonts w:ascii="Arial" w:hAnsi="Arial" w:cs="Arial"/>
          <w:b/>
          <w:color w:val="000000"/>
          <w:sz w:val="20"/>
          <w:szCs w:val="20"/>
          <w:shd w:val="clear" w:color="auto" w:fill="FFFFFF"/>
        </w:rPr>
      </w:pPr>
      <w:r w:rsidRPr="00027A03">
        <w:rPr>
          <w:rFonts w:ascii="Arial" w:hAnsi="Arial" w:cs="Arial"/>
          <w:b/>
          <w:color w:val="000000"/>
          <w:sz w:val="20"/>
          <w:szCs w:val="20"/>
          <w:shd w:val="clear" w:color="auto" w:fill="FFFFFF"/>
        </w:rPr>
        <w:t>Gestão Administrativa. Controle interno (Administração Pública). Veículo. Multa. Identificação.</w:t>
      </w:r>
    </w:p>
    <w:p w:rsidR="004D7DC5" w:rsidRDefault="004D7DC5" w:rsidP="00027A03">
      <w:pPr>
        <w:autoSpaceDE w:val="0"/>
        <w:autoSpaceDN w:val="0"/>
        <w:adjustRightInd w:val="0"/>
        <w:spacing w:after="0"/>
        <w:jc w:val="both"/>
        <w:rPr>
          <w:rFonts w:ascii="Arial" w:hAnsi="Arial" w:cs="Arial"/>
          <w:color w:val="000000"/>
          <w:sz w:val="20"/>
          <w:szCs w:val="20"/>
          <w:shd w:val="clear" w:color="auto" w:fill="FFFFFF"/>
        </w:rPr>
      </w:pPr>
    </w:p>
    <w:p w:rsidR="00CE657B" w:rsidRDefault="00CE657B" w:rsidP="00027A03">
      <w:pPr>
        <w:autoSpaceDE w:val="0"/>
        <w:autoSpaceDN w:val="0"/>
        <w:adjustRightInd w:val="0"/>
        <w:spacing w:after="0"/>
        <w:jc w:val="both"/>
        <w:rPr>
          <w:rFonts w:ascii="Arial" w:hAnsi="Arial" w:cs="Arial"/>
          <w:color w:val="000000"/>
          <w:sz w:val="20"/>
          <w:szCs w:val="20"/>
          <w:shd w:val="clear" w:color="auto" w:fill="FFFFFF"/>
        </w:rPr>
      </w:pPr>
      <w:r w:rsidRPr="00CE657B">
        <w:rPr>
          <w:rFonts w:ascii="Arial" w:hAnsi="Arial" w:cs="Arial"/>
          <w:color w:val="000000"/>
          <w:sz w:val="20"/>
          <w:szCs w:val="20"/>
          <w:shd w:val="clear" w:color="auto" w:fill="FFFFFF"/>
        </w:rPr>
        <w:t xml:space="preserve"> Motorista. A identificação dos condutores responsáveis por multas aplicadas aos veículos da Administração Pública não constitui faculdade, mas obrigação do gestor, pois o não cumprimento desse dever ocasiona o agravamento da infração e a aplicação de sanção pecuniária adicional (art. 257, § 8º, do Lei 9.503/1997, Código Brasileiro de Trânsito).</w:t>
      </w:r>
    </w:p>
    <w:p w:rsidR="007A6DC9" w:rsidRDefault="007A6DC9" w:rsidP="00027A03">
      <w:pPr>
        <w:autoSpaceDE w:val="0"/>
        <w:autoSpaceDN w:val="0"/>
        <w:adjustRightInd w:val="0"/>
        <w:spacing w:after="0"/>
        <w:jc w:val="both"/>
        <w:rPr>
          <w:rFonts w:ascii="Arial" w:hAnsi="Arial" w:cs="Arial"/>
          <w:color w:val="000000"/>
          <w:sz w:val="20"/>
          <w:szCs w:val="20"/>
          <w:shd w:val="clear" w:color="auto" w:fill="FFFFFF"/>
        </w:rPr>
      </w:pPr>
    </w:p>
    <w:p w:rsidR="007A6DC9" w:rsidRPr="004D7DC5" w:rsidRDefault="00B33F79" w:rsidP="00027A03">
      <w:pPr>
        <w:autoSpaceDE w:val="0"/>
        <w:autoSpaceDN w:val="0"/>
        <w:adjustRightInd w:val="0"/>
        <w:spacing w:after="0"/>
        <w:jc w:val="both"/>
        <w:rPr>
          <w:rFonts w:ascii="Arial" w:hAnsi="Arial" w:cs="Arial"/>
          <w:b/>
          <w:color w:val="000000"/>
          <w:sz w:val="20"/>
          <w:szCs w:val="20"/>
          <w:shd w:val="clear" w:color="auto" w:fill="FFFFFF"/>
        </w:rPr>
      </w:pPr>
      <w:hyperlink r:id="rId22" w:history="1">
        <w:r w:rsidR="007A6DC9" w:rsidRPr="00E1021D">
          <w:rPr>
            <w:rStyle w:val="Hyperlink"/>
            <w:rFonts w:ascii="Arial" w:hAnsi="Arial" w:cs="Arial"/>
            <w:b/>
            <w:sz w:val="20"/>
            <w:szCs w:val="20"/>
            <w:shd w:val="clear" w:color="auto" w:fill="FFFFFF"/>
          </w:rPr>
          <w:t>Acórdão</w:t>
        </w:r>
        <w:r w:rsidR="00CF237E" w:rsidRPr="00E1021D">
          <w:rPr>
            <w:rStyle w:val="Hyperlink"/>
            <w:rFonts w:ascii="Arial" w:hAnsi="Arial" w:cs="Arial"/>
            <w:b/>
            <w:sz w:val="20"/>
            <w:szCs w:val="20"/>
            <w:shd w:val="clear" w:color="auto" w:fill="FFFFFF"/>
          </w:rPr>
          <w:t xml:space="preserve"> n°</w:t>
        </w:r>
        <w:r w:rsidR="007A6DC9" w:rsidRPr="00E1021D">
          <w:rPr>
            <w:rStyle w:val="Hyperlink"/>
            <w:rFonts w:ascii="Arial" w:hAnsi="Arial" w:cs="Arial"/>
            <w:b/>
            <w:sz w:val="20"/>
            <w:szCs w:val="20"/>
            <w:shd w:val="clear" w:color="auto" w:fill="FFFFFF"/>
          </w:rPr>
          <w:t xml:space="preserve"> 3221/2017</w:t>
        </w:r>
        <w:r w:rsidR="00CF237E" w:rsidRPr="00E1021D">
          <w:rPr>
            <w:rStyle w:val="Hyperlink"/>
            <w:rFonts w:ascii="Arial" w:hAnsi="Arial" w:cs="Arial"/>
            <w:b/>
            <w:sz w:val="20"/>
            <w:szCs w:val="20"/>
            <w:shd w:val="clear" w:color="auto" w:fill="FFFFFF"/>
          </w:rPr>
          <w:t xml:space="preserve"> -</w:t>
        </w:r>
        <w:r w:rsidR="007A6DC9" w:rsidRPr="00E1021D">
          <w:rPr>
            <w:rStyle w:val="Hyperlink"/>
            <w:rFonts w:ascii="Arial" w:hAnsi="Arial" w:cs="Arial"/>
            <w:b/>
            <w:sz w:val="20"/>
            <w:szCs w:val="20"/>
            <w:shd w:val="clear" w:color="auto" w:fill="FFFFFF"/>
          </w:rPr>
          <w:t xml:space="preserve"> Segunda Câmara</w:t>
        </w:r>
      </w:hyperlink>
      <w:r w:rsidR="007A6DC9" w:rsidRPr="004D7DC5">
        <w:rPr>
          <w:rFonts w:ascii="Arial" w:hAnsi="Arial" w:cs="Arial"/>
          <w:b/>
          <w:color w:val="000000"/>
          <w:sz w:val="20"/>
          <w:szCs w:val="20"/>
          <w:shd w:val="clear" w:color="auto" w:fill="FFFFFF"/>
        </w:rPr>
        <w:t xml:space="preserve"> (Tomada de Contas Especial, Relator Ministro-Substituto Marcos </w:t>
      </w:r>
      <w:proofErr w:type="spellStart"/>
      <w:r w:rsidR="007A6DC9" w:rsidRPr="004D7DC5">
        <w:rPr>
          <w:rFonts w:ascii="Arial" w:hAnsi="Arial" w:cs="Arial"/>
          <w:b/>
          <w:color w:val="000000"/>
          <w:sz w:val="20"/>
          <w:szCs w:val="20"/>
          <w:shd w:val="clear" w:color="auto" w:fill="FFFFFF"/>
        </w:rPr>
        <w:t>Bemquerer</w:t>
      </w:r>
      <w:proofErr w:type="spellEnd"/>
      <w:r w:rsidR="007A6DC9" w:rsidRPr="004D7DC5">
        <w:rPr>
          <w:rFonts w:ascii="Arial" w:hAnsi="Arial" w:cs="Arial"/>
          <w:b/>
          <w:color w:val="000000"/>
          <w:sz w:val="20"/>
          <w:szCs w:val="20"/>
          <w:shd w:val="clear" w:color="auto" w:fill="FFFFFF"/>
        </w:rPr>
        <w:t>)</w:t>
      </w:r>
    </w:p>
    <w:p w:rsidR="007A6DC9" w:rsidRPr="004D7DC5" w:rsidRDefault="007A6DC9" w:rsidP="00027A03">
      <w:pPr>
        <w:autoSpaceDE w:val="0"/>
        <w:autoSpaceDN w:val="0"/>
        <w:adjustRightInd w:val="0"/>
        <w:spacing w:after="0"/>
        <w:jc w:val="both"/>
        <w:rPr>
          <w:rFonts w:ascii="Arial" w:hAnsi="Arial" w:cs="Arial"/>
          <w:color w:val="000000"/>
          <w:sz w:val="20"/>
          <w:szCs w:val="20"/>
          <w:shd w:val="clear" w:color="auto" w:fill="FFFFFF"/>
        </w:rPr>
      </w:pPr>
    </w:p>
    <w:p w:rsidR="007A6DC9" w:rsidRPr="00027A03" w:rsidRDefault="007A6DC9" w:rsidP="00027A03">
      <w:pPr>
        <w:spacing w:after="0"/>
        <w:jc w:val="both"/>
        <w:rPr>
          <w:rFonts w:ascii="Arial" w:hAnsi="Arial" w:cs="Arial"/>
          <w:b/>
          <w:sz w:val="20"/>
          <w:szCs w:val="20"/>
        </w:rPr>
      </w:pPr>
      <w:r w:rsidRPr="00027A03">
        <w:rPr>
          <w:rFonts w:ascii="Arial" w:hAnsi="Arial" w:cs="Arial"/>
          <w:b/>
          <w:sz w:val="20"/>
          <w:szCs w:val="20"/>
        </w:rPr>
        <w:t>Responsabilidade. Convênio. Gestor sucessor. Atraso. Solidariedade.</w:t>
      </w:r>
    </w:p>
    <w:p w:rsidR="004D7DC5" w:rsidRDefault="004D7DC5" w:rsidP="00027A03">
      <w:pPr>
        <w:pStyle w:val="TCU-Epgrafe"/>
        <w:spacing w:line="276" w:lineRule="auto"/>
        <w:ind w:left="0"/>
        <w:rPr>
          <w:rFonts w:ascii="Arial" w:hAnsi="Arial" w:cs="Arial"/>
          <w:sz w:val="20"/>
        </w:rPr>
      </w:pPr>
    </w:p>
    <w:p w:rsidR="007A6DC9" w:rsidRPr="004D7DC5" w:rsidRDefault="007A6DC9" w:rsidP="00027A03">
      <w:pPr>
        <w:pStyle w:val="TCU-Epgrafe"/>
        <w:spacing w:line="276" w:lineRule="auto"/>
        <w:ind w:left="0"/>
        <w:rPr>
          <w:rFonts w:ascii="Arial" w:hAnsi="Arial" w:cs="Arial"/>
          <w:sz w:val="20"/>
        </w:rPr>
      </w:pPr>
      <w:r w:rsidRPr="004D7DC5">
        <w:rPr>
          <w:rFonts w:ascii="Arial" w:hAnsi="Arial" w:cs="Arial"/>
          <w:sz w:val="20"/>
        </w:rPr>
        <w:t>O prefeito que dá causa a atraso na execução de convênio, fazendo com que seu término recaia sobre a gestão do prefeito sucessor, responde solidariamente com este pela eventual não conclusão do objeto ajustado.</w:t>
      </w:r>
    </w:p>
    <w:p w:rsidR="007A6DC9" w:rsidRDefault="007A6DC9" w:rsidP="00027A03">
      <w:pPr>
        <w:autoSpaceDE w:val="0"/>
        <w:autoSpaceDN w:val="0"/>
        <w:adjustRightInd w:val="0"/>
        <w:spacing w:after="0"/>
        <w:jc w:val="both"/>
        <w:rPr>
          <w:rFonts w:ascii="Arial" w:hAnsi="Arial" w:cs="Arial"/>
          <w:color w:val="000000"/>
          <w:sz w:val="20"/>
          <w:szCs w:val="20"/>
          <w:shd w:val="clear" w:color="auto" w:fill="FFFFFF"/>
        </w:rPr>
      </w:pPr>
    </w:p>
    <w:p w:rsidR="008A2B8F" w:rsidRDefault="008A2B8F" w:rsidP="00027A03">
      <w:pPr>
        <w:spacing w:after="0"/>
        <w:jc w:val="both"/>
        <w:rPr>
          <w:rFonts w:ascii="Arial" w:hAnsi="Arial" w:cs="Arial"/>
          <w:b/>
          <w:color w:val="000000"/>
          <w:sz w:val="20"/>
          <w:szCs w:val="20"/>
        </w:rPr>
      </w:pPr>
      <w:r>
        <w:rPr>
          <w:rFonts w:ascii="Arial" w:hAnsi="Arial" w:cs="Arial"/>
          <w:b/>
          <w:color w:val="000000"/>
          <w:sz w:val="20"/>
          <w:szCs w:val="20"/>
        </w:rPr>
        <w:t xml:space="preserve">OLACEFS - Organização da América Latina e do Caribe de Entidades Fiscalizadoras Superiores:  </w:t>
      </w:r>
    </w:p>
    <w:p w:rsidR="00B721DC" w:rsidRDefault="00B721DC" w:rsidP="00027A03">
      <w:pPr>
        <w:spacing w:after="0"/>
        <w:jc w:val="both"/>
        <w:rPr>
          <w:rFonts w:ascii="Arial" w:hAnsi="Arial" w:cs="Arial"/>
          <w:b/>
          <w:color w:val="000000"/>
          <w:sz w:val="20"/>
          <w:szCs w:val="20"/>
        </w:rPr>
      </w:pPr>
    </w:p>
    <w:p w:rsidR="00B721DC" w:rsidRDefault="00B721DC" w:rsidP="00027A03">
      <w:pPr>
        <w:widowControl w:val="0"/>
        <w:autoSpaceDE w:val="0"/>
        <w:autoSpaceDN w:val="0"/>
        <w:spacing w:after="0"/>
        <w:jc w:val="both"/>
        <w:rPr>
          <w:rStyle w:val="Hyperlink"/>
          <w:rFonts w:ascii="Arial" w:hAnsi="Arial" w:cs="Arial"/>
          <w:b/>
          <w:sz w:val="20"/>
          <w:szCs w:val="20"/>
        </w:rPr>
      </w:pPr>
      <w:r>
        <w:rPr>
          <w:rFonts w:ascii="Arial" w:hAnsi="Arial" w:cs="Arial"/>
          <w:sz w:val="20"/>
          <w:szCs w:val="20"/>
        </w:rPr>
        <w:t xml:space="preserve">Informe Executivo do Relatório da ACOV disponível em língua espanhola: </w:t>
      </w:r>
      <w:hyperlink r:id="rId23" w:history="1">
        <w:proofErr w:type="spellStart"/>
        <w:r w:rsidRPr="00B7669D">
          <w:rPr>
            <w:rStyle w:val="Hyperlink"/>
            <w:rFonts w:ascii="Arial" w:hAnsi="Arial" w:cs="Arial"/>
            <w:b/>
            <w:sz w:val="20"/>
            <w:szCs w:val="20"/>
          </w:rPr>
          <w:t>Auditoría</w:t>
        </w:r>
        <w:proofErr w:type="spellEnd"/>
        <w:r w:rsidRPr="00B7669D">
          <w:rPr>
            <w:rStyle w:val="Hyperlink"/>
            <w:rFonts w:ascii="Arial" w:hAnsi="Arial" w:cs="Arial"/>
            <w:b/>
            <w:sz w:val="20"/>
            <w:szCs w:val="20"/>
          </w:rPr>
          <w:t xml:space="preserve"> </w:t>
        </w:r>
        <w:proofErr w:type="spellStart"/>
        <w:r w:rsidRPr="00B7669D">
          <w:rPr>
            <w:rStyle w:val="Hyperlink"/>
            <w:rFonts w:ascii="Arial" w:hAnsi="Arial" w:cs="Arial"/>
            <w:b/>
            <w:sz w:val="20"/>
            <w:szCs w:val="20"/>
          </w:rPr>
          <w:t>Co</w:t>
        </w:r>
        <w:r w:rsidR="00B7669D" w:rsidRPr="00B7669D">
          <w:rPr>
            <w:rStyle w:val="Hyperlink"/>
            <w:rFonts w:ascii="Arial" w:hAnsi="Arial" w:cs="Arial"/>
            <w:b/>
            <w:sz w:val="20"/>
            <w:szCs w:val="20"/>
          </w:rPr>
          <w:t>ordinada</w:t>
        </w:r>
        <w:proofErr w:type="spellEnd"/>
        <w:r w:rsidR="00B7669D" w:rsidRPr="00B7669D">
          <w:rPr>
            <w:rStyle w:val="Hyperlink"/>
            <w:rFonts w:ascii="Arial" w:hAnsi="Arial" w:cs="Arial"/>
            <w:b/>
            <w:sz w:val="20"/>
            <w:szCs w:val="20"/>
          </w:rPr>
          <w:t xml:space="preserve"> </w:t>
        </w:r>
        <w:r w:rsidRPr="00B7669D">
          <w:rPr>
            <w:rStyle w:val="Hyperlink"/>
            <w:rFonts w:ascii="Arial" w:hAnsi="Arial" w:cs="Arial"/>
            <w:b/>
            <w:sz w:val="20"/>
            <w:szCs w:val="20"/>
          </w:rPr>
          <w:t xml:space="preserve">de </w:t>
        </w:r>
        <w:r w:rsidR="00B7669D" w:rsidRPr="00B7669D">
          <w:rPr>
            <w:rStyle w:val="Hyperlink"/>
            <w:rFonts w:ascii="Arial" w:hAnsi="Arial" w:cs="Arial"/>
            <w:b/>
            <w:sz w:val="20"/>
            <w:szCs w:val="20"/>
          </w:rPr>
          <w:t xml:space="preserve">Obras </w:t>
        </w:r>
        <w:proofErr w:type="spellStart"/>
        <w:r w:rsidR="00B7669D" w:rsidRPr="00B7669D">
          <w:rPr>
            <w:rStyle w:val="Hyperlink"/>
            <w:rFonts w:ascii="Arial" w:hAnsi="Arial" w:cs="Arial"/>
            <w:b/>
            <w:sz w:val="20"/>
            <w:szCs w:val="20"/>
          </w:rPr>
          <w:t>Viales</w:t>
        </w:r>
        <w:proofErr w:type="spellEnd"/>
        <w:r w:rsidRPr="00B7669D">
          <w:rPr>
            <w:rStyle w:val="Hyperlink"/>
            <w:rFonts w:ascii="Arial" w:hAnsi="Arial" w:cs="Arial"/>
            <w:b/>
            <w:sz w:val="20"/>
            <w:szCs w:val="20"/>
          </w:rPr>
          <w:t>.</w:t>
        </w:r>
      </w:hyperlink>
    </w:p>
    <w:p w:rsidR="008A2B8F" w:rsidRDefault="008A2B8F" w:rsidP="00027A03">
      <w:pPr>
        <w:autoSpaceDE w:val="0"/>
        <w:autoSpaceDN w:val="0"/>
        <w:adjustRightInd w:val="0"/>
        <w:spacing w:after="0"/>
        <w:jc w:val="both"/>
        <w:rPr>
          <w:rFonts w:ascii="Arial" w:hAnsi="Arial" w:cs="Arial"/>
          <w:color w:val="000000"/>
          <w:sz w:val="20"/>
          <w:szCs w:val="20"/>
          <w:shd w:val="clear" w:color="auto" w:fill="FFFFFF"/>
        </w:rPr>
      </w:pPr>
    </w:p>
    <w:p w:rsidR="00144712" w:rsidRDefault="0093167C" w:rsidP="00027A03">
      <w:pPr>
        <w:widowControl w:val="0"/>
        <w:autoSpaceDE w:val="0"/>
        <w:autoSpaceDN w:val="0"/>
        <w:spacing w:after="0"/>
        <w:jc w:val="both"/>
        <w:rPr>
          <w:rFonts w:ascii="Arial" w:hAnsi="Arial" w:cs="Arial"/>
          <w:sz w:val="20"/>
          <w:szCs w:val="20"/>
        </w:rPr>
      </w:pPr>
      <w:r>
        <w:rPr>
          <w:rFonts w:ascii="Arial" w:hAnsi="Arial" w:cs="Arial"/>
          <w:sz w:val="20"/>
          <w:szCs w:val="20"/>
        </w:rPr>
        <w:t xml:space="preserve">As atividades do Grupo de </w:t>
      </w:r>
      <w:r w:rsidR="00CF53F5">
        <w:rPr>
          <w:rFonts w:ascii="Arial" w:hAnsi="Arial" w:cs="Arial"/>
          <w:sz w:val="20"/>
          <w:szCs w:val="20"/>
        </w:rPr>
        <w:t xml:space="preserve">Trabalho de Auditoria de Obras Públicas (GTOP da </w:t>
      </w:r>
      <w:proofErr w:type="spellStart"/>
      <w:r w:rsidR="00CF53F5">
        <w:rPr>
          <w:rFonts w:ascii="Arial" w:hAnsi="Arial" w:cs="Arial"/>
          <w:sz w:val="20"/>
          <w:szCs w:val="20"/>
        </w:rPr>
        <w:t>OLACEFs</w:t>
      </w:r>
      <w:proofErr w:type="spellEnd"/>
      <w:r w:rsidR="00CF53F5">
        <w:rPr>
          <w:rFonts w:ascii="Arial" w:hAnsi="Arial" w:cs="Arial"/>
          <w:sz w:val="20"/>
          <w:szCs w:val="20"/>
        </w:rPr>
        <w:t>)</w:t>
      </w:r>
      <w:r w:rsidR="0016670D">
        <w:rPr>
          <w:rFonts w:ascii="Arial" w:hAnsi="Arial" w:cs="Arial"/>
          <w:sz w:val="20"/>
          <w:szCs w:val="20"/>
        </w:rPr>
        <w:t xml:space="preserve"> realizadas em Santiago</w:t>
      </w:r>
      <w:r w:rsidR="00BE00E5">
        <w:rPr>
          <w:rFonts w:ascii="Arial" w:hAnsi="Arial" w:cs="Arial"/>
          <w:sz w:val="20"/>
          <w:szCs w:val="20"/>
        </w:rPr>
        <w:t xml:space="preserve">, capital </w:t>
      </w:r>
      <w:r w:rsidR="0016670D">
        <w:rPr>
          <w:rFonts w:ascii="Arial" w:hAnsi="Arial" w:cs="Arial"/>
          <w:sz w:val="20"/>
          <w:szCs w:val="20"/>
        </w:rPr>
        <w:t>do Chile, concluíram</w:t>
      </w:r>
      <w:r w:rsidR="00FF7E8F">
        <w:rPr>
          <w:rFonts w:ascii="Arial" w:hAnsi="Arial" w:cs="Arial"/>
          <w:sz w:val="20"/>
          <w:szCs w:val="20"/>
        </w:rPr>
        <w:t xml:space="preserve"> os trabalhos de Capa</w:t>
      </w:r>
      <w:r w:rsidR="003005B3">
        <w:rPr>
          <w:rFonts w:ascii="Arial" w:hAnsi="Arial" w:cs="Arial"/>
          <w:sz w:val="20"/>
          <w:szCs w:val="20"/>
        </w:rPr>
        <w:t xml:space="preserve">citação e </w:t>
      </w:r>
      <w:r w:rsidR="003005B3">
        <w:rPr>
          <w:rFonts w:ascii="Arial" w:hAnsi="Arial" w:cs="Arial"/>
          <w:sz w:val="20"/>
          <w:szCs w:val="20"/>
        </w:rPr>
        <w:lastRenderedPageBreak/>
        <w:t xml:space="preserve">Planejamento da Auditoria Coordenada sobre Obras em Estradas. </w:t>
      </w:r>
      <w:r w:rsidR="00C851A6">
        <w:rPr>
          <w:rFonts w:ascii="Arial" w:hAnsi="Arial" w:cs="Arial"/>
          <w:sz w:val="20"/>
          <w:szCs w:val="20"/>
        </w:rPr>
        <w:t xml:space="preserve">Onze </w:t>
      </w:r>
      <w:r w:rsidR="00BE00E5">
        <w:rPr>
          <w:rFonts w:ascii="Arial" w:hAnsi="Arial" w:cs="Arial"/>
          <w:sz w:val="20"/>
          <w:szCs w:val="20"/>
        </w:rPr>
        <w:t xml:space="preserve">das </w:t>
      </w:r>
      <w:r w:rsidR="00C851A6">
        <w:rPr>
          <w:rFonts w:ascii="Arial" w:hAnsi="Arial" w:cs="Arial"/>
          <w:sz w:val="20"/>
          <w:szCs w:val="20"/>
        </w:rPr>
        <w:t>EFS participaram do referido trabalho conjunto: Brasil, Chile, Colômbia, Costa Rica, Equador, El Salvador, Honduras, México, Paraguai, Peru e República Dominicana.</w:t>
      </w:r>
      <w:r w:rsidR="00144712">
        <w:rPr>
          <w:rFonts w:ascii="Arial" w:hAnsi="Arial" w:cs="Arial"/>
          <w:sz w:val="20"/>
          <w:szCs w:val="20"/>
        </w:rPr>
        <w:t xml:space="preserve"> </w:t>
      </w:r>
      <w:r w:rsidR="0060146A">
        <w:rPr>
          <w:rFonts w:ascii="Arial" w:hAnsi="Arial" w:cs="Arial"/>
          <w:sz w:val="20"/>
          <w:szCs w:val="20"/>
        </w:rPr>
        <w:t>A a</w:t>
      </w:r>
      <w:r w:rsidR="00144712">
        <w:rPr>
          <w:rFonts w:ascii="Arial" w:hAnsi="Arial" w:cs="Arial"/>
          <w:sz w:val="20"/>
          <w:szCs w:val="20"/>
        </w:rPr>
        <w:t xml:space="preserve">uditoria visou fortalecer as </w:t>
      </w:r>
      <w:r w:rsidR="00144712" w:rsidRPr="00144712">
        <w:rPr>
          <w:rFonts w:ascii="Arial" w:hAnsi="Arial" w:cs="Arial"/>
          <w:sz w:val="20"/>
          <w:szCs w:val="20"/>
        </w:rPr>
        <w:t>capacidades institucionais dos</w:t>
      </w:r>
      <w:r w:rsidR="0060146A">
        <w:rPr>
          <w:rFonts w:ascii="Arial" w:hAnsi="Arial" w:cs="Arial"/>
          <w:sz w:val="20"/>
          <w:szCs w:val="20"/>
        </w:rPr>
        <w:t xml:space="preserve"> participantes </w:t>
      </w:r>
      <w:r w:rsidR="00CC550E">
        <w:rPr>
          <w:rFonts w:ascii="Arial" w:hAnsi="Arial" w:cs="Arial"/>
          <w:sz w:val="20"/>
          <w:szCs w:val="20"/>
        </w:rPr>
        <w:t xml:space="preserve">na análise </w:t>
      </w:r>
      <w:r w:rsidR="00144712" w:rsidRPr="00144712">
        <w:rPr>
          <w:rFonts w:ascii="Arial" w:hAnsi="Arial" w:cs="Arial"/>
          <w:sz w:val="20"/>
          <w:szCs w:val="20"/>
        </w:rPr>
        <w:t xml:space="preserve">de obras públicas através da realização conjunta </w:t>
      </w:r>
      <w:r w:rsidR="00CC550E">
        <w:rPr>
          <w:rFonts w:ascii="Arial" w:hAnsi="Arial" w:cs="Arial"/>
          <w:sz w:val="20"/>
          <w:szCs w:val="20"/>
        </w:rPr>
        <w:t xml:space="preserve">de </w:t>
      </w:r>
      <w:r w:rsidR="00144712" w:rsidRPr="00144712">
        <w:rPr>
          <w:rFonts w:ascii="Arial" w:hAnsi="Arial" w:cs="Arial"/>
          <w:sz w:val="20"/>
          <w:szCs w:val="20"/>
        </w:rPr>
        <w:t>atividades de aprendizagem</w:t>
      </w:r>
      <w:r w:rsidR="00CC550E">
        <w:rPr>
          <w:rFonts w:ascii="Arial" w:hAnsi="Arial" w:cs="Arial"/>
          <w:sz w:val="20"/>
          <w:szCs w:val="20"/>
        </w:rPr>
        <w:t xml:space="preserve">, </w:t>
      </w:r>
      <w:r w:rsidR="00144712" w:rsidRPr="00144712">
        <w:rPr>
          <w:rFonts w:ascii="Arial" w:hAnsi="Arial" w:cs="Arial"/>
          <w:sz w:val="20"/>
          <w:szCs w:val="20"/>
        </w:rPr>
        <w:t xml:space="preserve">impacto e capacitação com foco na revisão de obras rodoviárias, considerando </w:t>
      </w:r>
      <w:r w:rsidR="00CC550E">
        <w:rPr>
          <w:rFonts w:ascii="Arial" w:hAnsi="Arial" w:cs="Arial"/>
          <w:sz w:val="20"/>
          <w:szCs w:val="20"/>
        </w:rPr>
        <w:t xml:space="preserve">essencialmente </w:t>
      </w:r>
      <w:r w:rsidR="00144712" w:rsidRPr="00144712">
        <w:rPr>
          <w:rFonts w:ascii="Arial" w:hAnsi="Arial" w:cs="Arial"/>
          <w:sz w:val="20"/>
          <w:szCs w:val="20"/>
        </w:rPr>
        <w:t>os aspectos de qualidade</w:t>
      </w:r>
      <w:r w:rsidR="00EE15B5">
        <w:rPr>
          <w:rFonts w:ascii="Arial" w:hAnsi="Arial" w:cs="Arial"/>
          <w:sz w:val="20"/>
          <w:szCs w:val="20"/>
        </w:rPr>
        <w:t xml:space="preserve">. </w:t>
      </w:r>
      <w:r w:rsidR="00144712" w:rsidRPr="00144712">
        <w:rPr>
          <w:rFonts w:ascii="Arial" w:hAnsi="Arial" w:cs="Arial"/>
          <w:sz w:val="20"/>
          <w:szCs w:val="20"/>
        </w:rPr>
        <w:t>Além disso, foram discutidos metodologia e planejamento da auditoria matriz coordenad</w:t>
      </w:r>
      <w:r w:rsidR="000C2948">
        <w:rPr>
          <w:rFonts w:ascii="Arial" w:hAnsi="Arial" w:cs="Arial"/>
          <w:sz w:val="20"/>
          <w:szCs w:val="20"/>
        </w:rPr>
        <w:t>a</w:t>
      </w:r>
      <w:r w:rsidR="00144712" w:rsidRPr="00144712">
        <w:rPr>
          <w:rFonts w:ascii="Arial" w:hAnsi="Arial" w:cs="Arial"/>
          <w:sz w:val="20"/>
          <w:szCs w:val="20"/>
        </w:rPr>
        <w:t xml:space="preserve"> com base na análise das particula</w:t>
      </w:r>
      <w:r w:rsidR="000C2948">
        <w:rPr>
          <w:rFonts w:ascii="Arial" w:hAnsi="Arial" w:cs="Arial"/>
          <w:sz w:val="20"/>
          <w:szCs w:val="20"/>
        </w:rPr>
        <w:t>ridades nacionais</w:t>
      </w:r>
      <w:r w:rsidR="00144712" w:rsidRPr="00144712">
        <w:rPr>
          <w:rFonts w:ascii="Arial" w:hAnsi="Arial" w:cs="Arial"/>
          <w:sz w:val="20"/>
          <w:szCs w:val="20"/>
        </w:rPr>
        <w:t>.</w:t>
      </w:r>
    </w:p>
    <w:p w:rsidR="002874A2" w:rsidRDefault="0060126D" w:rsidP="008D7542">
      <w:pPr>
        <w:jc w:val="center"/>
        <w:rPr>
          <w:rStyle w:val="Hyperlink"/>
          <w:rFonts w:ascii="Arial" w:hAnsi="Arial" w:cs="Arial"/>
          <w:i/>
          <w:color w:val="000000" w:themeColor="text1"/>
          <w:sz w:val="18"/>
          <w:szCs w:val="18"/>
          <w:u w:val="none"/>
        </w:rPr>
      </w:pPr>
      <w:r w:rsidRPr="005C4DB7">
        <w:rPr>
          <w:rFonts w:ascii="Arial" w:hAnsi="Arial" w:cs="Arial"/>
          <w:noProof/>
          <w:sz w:val="20"/>
          <w:szCs w:val="20"/>
          <w:lang w:eastAsia="pt-BR"/>
        </w:rPr>
        <mc:AlternateContent>
          <mc:Choice Requires="wps">
            <w:drawing>
              <wp:anchor distT="0" distB="0" distL="114300" distR="114300" simplePos="0" relativeHeight="251667456" behindDoc="0" locked="0" layoutInCell="1" allowOverlap="1" wp14:anchorId="32880E73" wp14:editId="289F161D">
                <wp:simplePos x="0" y="0"/>
                <wp:positionH relativeFrom="margin">
                  <wp:posOffset>-6985</wp:posOffset>
                </wp:positionH>
                <wp:positionV relativeFrom="paragraph">
                  <wp:posOffset>97155</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514324B" id="Conector reto 59"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7.65pt" to="433.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" strokecolor="black [3200]" strokeweight="2pt">
                <v:shadow on="t" color="black" opacity="24903f" origin=",.5" offset="0,.55556mm"/>
                <w10:wrap anchorx="margin"/>
              </v:line>
            </w:pict>
          </mc:Fallback>
        </mc:AlternateContent>
      </w:r>
    </w:p>
    <w:p w:rsidR="008D7542" w:rsidRDefault="00E30DE6" w:rsidP="008D7542">
      <w:pPr>
        <w:widowControl w:val="0"/>
        <w:autoSpaceDE w:val="0"/>
        <w:autoSpaceDN w:val="0"/>
        <w:jc w:val="center"/>
        <w:rPr>
          <w:rFonts w:ascii="Arial" w:hAnsi="Arial" w:cs="Arial"/>
          <w:b/>
          <w:sz w:val="20"/>
          <w:szCs w:val="20"/>
        </w:rPr>
      </w:pPr>
      <w:r w:rsidRPr="00F41C34">
        <w:rPr>
          <w:rStyle w:val="Hyperlink"/>
          <w:rFonts w:ascii="Arial" w:hAnsi="Arial" w:cs="Arial"/>
          <w:i/>
          <w:color w:val="000000" w:themeColor="text1"/>
          <w:sz w:val="18"/>
          <w:szCs w:val="18"/>
          <w:u w:val="none"/>
        </w:rPr>
        <w:t xml:space="preserve">Elaboração: Escola de Gestão Pública </w:t>
      </w:r>
      <w:r w:rsidR="001A16DE">
        <w:rPr>
          <w:rStyle w:val="Hyperlink"/>
          <w:rFonts w:ascii="Arial" w:hAnsi="Arial" w:cs="Arial"/>
          <w:i/>
          <w:color w:val="000000" w:themeColor="text1"/>
          <w:sz w:val="18"/>
          <w:szCs w:val="18"/>
          <w:u w:val="none"/>
        </w:rPr>
        <w:t>-</w:t>
      </w:r>
      <w:r w:rsidRPr="00F41C34">
        <w:rPr>
          <w:rStyle w:val="Hyperlink"/>
          <w:rFonts w:ascii="Arial" w:hAnsi="Arial" w:cs="Arial"/>
          <w:i/>
          <w:color w:val="000000" w:themeColor="text1"/>
          <w:sz w:val="18"/>
          <w:szCs w:val="18"/>
          <w:u w:val="none"/>
        </w:rPr>
        <w:t xml:space="preserve"> Jurisprudência</w:t>
      </w:r>
    </w:p>
    <w:p w:rsidR="008D7542" w:rsidRDefault="008D7542" w:rsidP="008D7542">
      <w:pPr>
        <w:widowControl w:val="0"/>
        <w:autoSpaceDE w:val="0"/>
        <w:autoSpaceDN w:val="0"/>
        <w:jc w:val="both"/>
        <w:rPr>
          <w:rFonts w:ascii="Arial" w:hAnsi="Arial" w:cs="Arial"/>
          <w:b/>
          <w:sz w:val="20"/>
          <w:szCs w:val="20"/>
        </w:rPr>
      </w:pPr>
    </w:p>
    <w:sectPr w:rsidR="008D7542">
      <w:headerReference w:type="default" r:id="rId24"/>
      <w:footerReference w:type="default" r:id="rId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7A9" w:rsidRDefault="009907A9" w:rsidP="00350CC2">
      <w:pPr>
        <w:spacing w:after="0" w:line="240" w:lineRule="auto"/>
      </w:pPr>
      <w:r>
        <w:separator/>
      </w:r>
    </w:p>
  </w:endnote>
  <w:endnote w:type="continuationSeparator" w:id="0">
    <w:p w:rsidR="009907A9" w:rsidRDefault="009907A9"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5DE" w:rsidRDefault="002245DE" w:rsidP="002245DE">
    <w:pPr>
      <w:pStyle w:val="Rodap"/>
      <w:jc w:val="center"/>
      <w:rPr>
        <w:sz w:val="16"/>
        <w:szCs w:val="16"/>
      </w:rPr>
    </w:pPr>
    <w:r>
      <w:rPr>
        <w:noProof/>
        <w:lang w:eastAsia="pt-BR"/>
      </w:rPr>
      <w:drawing>
        <wp:inline distT="0" distB="0" distL="0" distR="0" wp14:anchorId="76F19C9C" wp14:editId="2E121258">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B33F79">
      <w:rPr>
        <w:noProof/>
        <w:sz w:val="16"/>
        <w:szCs w:val="16"/>
      </w:rPr>
      <w:t>8</w:t>
    </w:r>
    <w:r w:rsidRPr="00722924">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7A9" w:rsidRDefault="009907A9" w:rsidP="00350CC2">
      <w:pPr>
        <w:spacing w:after="0" w:line="240" w:lineRule="auto"/>
      </w:pPr>
      <w:r>
        <w:separator/>
      </w:r>
    </w:p>
  </w:footnote>
  <w:footnote w:type="continuationSeparator" w:id="0">
    <w:p w:rsidR="009907A9" w:rsidRDefault="009907A9"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FD7" w:rsidRDefault="006A5FD7" w:rsidP="00F14CCC">
    <w:pPr>
      <w:pStyle w:val="Cabealho"/>
      <w:spacing w:after="100" w:afterAutospacing="1"/>
      <w:jc w:val="center"/>
      <w:rPr>
        <w:b/>
      </w:rPr>
    </w:pPr>
  </w:p>
  <w:p w:rsidR="006A5FD7" w:rsidRDefault="006A5FD7" w:rsidP="00F14CCC">
    <w:pPr>
      <w:pStyle w:val="Cabealho"/>
      <w:spacing w:after="100" w:afterAutospacing="1"/>
      <w:jc w:val="center"/>
      <w:rPr>
        <w:b/>
      </w:rPr>
    </w:pPr>
    <w:r>
      <w:rPr>
        <w:noProof/>
        <w:lang w:eastAsia="pt-BR"/>
      </w:rPr>
      <w:drawing>
        <wp:inline distT="0" distB="0" distL="0" distR="0" wp14:anchorId="36557203" wp14:editId="07039FB4">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191"/>
    <w:rsid w:val="00001F0E"/>
    <w:rsid w:val="0000505F"/>
    <w:rsid w:val="000078B5"/>
    <w:rsid w:val="00007F7A"/>
    <w:rsid w:val="00007FD0"/>
    <w:rsid w:val="00010F88"/>
    <w:rsid w:val="0001200F"/>
    <w:rsid w:val="00012CBB"/>
    <w:rsid w:val="00013840"/>
    <w:rsid w:val="00017EBA"/>
    <w:rsid w:val="00025971"/>
    <w:rsid w:val="000262AD"/>
    <w:rsid w:val="00027A03"/>
    <w:rsid w:val="00027FAB"/>
    <w:rsid w:val="000300F4"/>
    <w:rsid w:val="00033E69"/>
    <w:rsid w:val="00045700"/>
    <w:rsid w:val="00046191"/>
    <w:rsid w:val="00046E21"/>
    <w:rsid w:val="00047EF1"/>
    <w:rsid w:val="00052862"/>
    <w:rsid w:val="00056686"/>
    <w:rsid w:val="00056E6F"/>
    <w:rsid w:val="000572CE"/>
    <w:rsid w:val="000617CF"/>
    <w:rsid w:val="00062737"/>
    <w:rsid w:val="00067E01"/>
    <w:rsid w:val="00070009"/>
    <w:rsid w:val="00070B14"/>
    <w:rsid w:val="000713DD"/>
    <w:rsid w:val="0007200C"/>
    <w:rsid w:val="00074287"/>
    <w:rsid w:val="000747BF"/>
    <w:rsid w:val="00074FAB"/>
    <w:rsid w:val="000759E5"/>
    <w:rsid w:val="000926D4"/>
    <w:rsid w:val="00092E5D"/>
    <w:rsid w:val="0009482D"/>
    <w:rsid w:val="000A29BE"/>
    <w:rsid w:val="000A4EB6"/>
    <w:rsid w:val="000A5F01"/>
    <w:rsid w:val="000A71D1"/>
    <w:rsid w:val="000B1E10"/>
    <w:rsid w:val="000B31B6"/>
    <w:rsid w:val="000B47C0"/>
    <w:rsid w:val="000C2948"/>
    <w:rsid w:val="000C3582"/>
    <w:rsid w:val="000C5093"/>
    <w:rsid w:val="000C5EB3"/>
    <w:rsid w:val="000C63BC"/>
    <w:rsid w:val="000D357D"/>
    <w:rsid w:val="000D4DE6"/>
    <w:rsid w:val="000E3ACE"/>
    <w:rsid w:val="000E3FC6"/>
    <w:rsid w:val="000E5AC8"/>
    <w:rsid w:val="000F04ED"/>
    <w:rsid w:val="000F18DA"/>
    <w:rsid w:val="000F1FFA"/>
    <w:rsid w:val="000F639D"/>
    <w:rsid w:val="00100B9C"/>
    <w:rsid w:val="00110517"/>
    <w:rsid w:val="00110BD6"/>
    <w:rsid w:val="00111C26"/>
    <w:rsid w:val="00113EF1"/>
    <w:rsid w:val="00120862"/>
    <w:rsid w:val="0012211A"/>
    <w:rsid w:val="00123D02"/>
    <w:rsid w:val="00126447"/>
    <w:rsid w:val="00127DF2"/>
    <w:rsid w:val="0013298B"/>
    <w:rsid w:val="001342E3"/>
    <w:rsid w:val="00135D5F"/>
    <w:rsid w:val="001411E6"/>
    <w:rsid w:val="00142D10"/>
    <w:rsid w:val="00144712"/>
    <w:rsid w:val="001472C1"/>
    <w:rsid w:val="00150844"/>
    <w:rsid w:val="001529D8"/>
    <w:rsid w:val="00156185"/>
    <w:rsid w:val="00157806"/>
    <w:rsid w:val="00161AA2"/>
    <w:rsid w:val="0016670D"/>
    <w:rsid w:val="00166A96"/>
    <w:rsid w:val="00170F9D"/>
    <w:rsid w:val="001720EB"/>
    <w:rsid w:val="0017455D"/>
    <w:rsid w:val="001823E7"/>
    <w:rsid w:val="0018272D"/>
    <w:rsid w:val="00190B94"/>
    <w:rsid w:val="001930D1"/>
    <w:rsid w:val="001942C5"/>
    <w:rsid w:val="00196437"/>
    <w:rsid w:val="001975AB"/>
    <w:rsid w:val="001A16DE"/>
    <w:rsid w:val="001B096B"/>
    <w:rsid w:val="001B5F7A"/>
    <w:rsid w:val="001B6E08"/>
    <w:rsid w:val="001D51BD"/>
    <w:rsid w:val="001D6665"/>
    <w:rsid w:val="001D684B"/>
    <w:rsid w:val="001D6ADC"/>
    <w:rsid w:val="001E5F2E"/>
    <w:rsid w:val="001E6CAA"/>
    <w:rsid w:val="001F7A25"/>
    <w:rsid w:val="002013D1"/>
    <w:rsid w:val="0020195B"/>
    <w:rsid w:val="00202F4B"/>
    <w:rsid w:val="002036C8"/>
    <w:rsid w:val="002100EE"/>
    <w:rsid w:val="002147AC"/>
    <w:rsid w:val="00215EF3"/>
    <w:rsid w:val="00221D15"/>
    <w:rsid w:val="00223A59"/>
    <w:rsid w:val="00223F1C"/>
    <w:rsid w:val="002245DE"/>
    <w:rsid w:val="0023318C"/>
    <w:rsid w:val="00234AE0"/>
    <w:rsid w:val="00235F82"/>
    <w:rsid w:val="00237C21"/>
    <w:rsid w:val="0024200E"/>
    <w:rsid w:val="002426C3"/>
    <w:rsid w:val="00253ADA"/>
    <w:rsid w:val="00255360"/>
    <w:rsid w:val="00256CEA"/>
    <w:rsid w:val="00260758"/>
    <w:rsid w:val="00260D58"/>
    <w:rsid w:val="0026477F"/>
    <w:rsid w:val="0026729F"/>
    <w:rsid w:val="00271154"/>
    <w:rsid w:val="002805F1"/>
    <w:rsid w:val="00286EB4"/>
    <w:rsid w:val="002874A2"/>
    <w:rsid w:val="002921E2"/>
    <w:rsid w:val="0029566D"/>
    <w:rsid w:val="00295F4B"/>
    <w:rsid w:val="002A00AC"/>
    <w:rsid w:val="002A0792"/>
    <w:rsid w:val="002A1D5F"/>
    <w:rsid w:val="002B070A"/>
    <w:rsid w:val="002B14B7"/>
    <w:rsid w:val="002C19EA"/>
    <w:rsid w:val="002C480F"/>
    <w:rsid w:val="002C56C9"/>
    <w:rsid w:val="002D5B56"/>
    <w:rsid w:val="002D6612"/>
    <w:rsid w:val="002D7650"/>
    <w:rsid w:val="002E4277"/>
    <w:rsid w:val="002E72FA"/>
    <w:rsid w:val="002E7DFF"/>
    <w:rsid w:val="002F0BE9"/>
    <w:rsid w:val="002F13A0"/>
    <w:rsid w:val="002F1634"/>
    <w:rsid w:val="002F22FA"/>
    <w:rsid w:val="003005B3"/>
    <w:rsid w:val="0030165B"/>
    <w:rsid w:val="00305A67"/>
    <w:rsid w:val="00307038"/>
    <w:rsid w:val="00320577"/>
    <w:rsid w:val="0032266D"/>
    <w:rsid w:val="00325E2F"/>
    <w:rsid w:val="00331533"/>
    <w:rsid w:val="0033604C"/>
    <w:rsid w:val="00343C28"/>
    <w:rsid w:val="00344A3D"/>
    <w:rsid w:val="00344A41"/>
    <w:rsid w:val="0034575E"/>
    <w:rsid w:val="00350CC2"/>
    <w:rsid w:val="0035371B"/>
    <w:rsid w:val="00353FEB"/>
    <w:rsid w:val="00356FB0"/>
    <w:rsid w:val="00361F1D"/>
    <w:rsid w:val="00365E61"/>
    <w:rsid w:val="00365F51"/>
    <w:rsid w:val="0038012F"/>
    <w:rsid w:val="00380BAB"/>
    <w:rsid w:val="00394451"/>
    <w:rsid w:val="003A6622"/>
    <w:rsid w:val="003C6B35"/>
    <w:rsid w:val="003C7C21"/>
    <w:rsid w:val="003D7C37"/>
    <w:rsid w:val="003E110D"/>
    <w:rsid w:val="003E3529"/>
    <w:rsid w:val="003E3D02"/>
    <w:rsid w:val="003E3E6A"/>
    <w:rsid w:val="003E55BC"/>
    <w:rsid w:val="003F0088"/>
    <w:rsid w:val="003F03C6"/>
    <w:rsid w:val="003F2DDE"/>
    <w:rsid w:val="003F5060"/>
    <w:rsid w:val="003F677C"/>
    <w:rsid w:val="003F7090"/>
    <w:rsid w:val="004043AD"/>
    <w:rsid w:val="00405A6A"/>
    <w:rsid w:val="00406D2C"/>
    <w:rsid w:val="0041120A"/>
    <w:rsid w:val="0041337A"/>
    <w:rsid w:val="00416A72"/>
    <w:rsid w:val="00420AE1"/>
    <w:rsid w:val="0042728A"/>
    <w:rsid w:val="004276DC"/>
    <w:rsid w:val="0043291F"/>
    <w:rsid w:val="00437541"/>
    <w:rsid w:val="00441D38"/>
    <w:rsid w:val="00441E59"/>
    <w:rsid w:val="0044532C"/>
    <w:rsid w:val="00447BB2"/>
    <w:rsid w:val="00455387"/>
    <w:rsid w:val="00455AAB"/>
    <w:rsid w:val="00457317"/>
    <w:rsid w:val="0046165B"/>
    <w:rsid w:val="00462460"/>
    <w:rsid w:val="004624E9"/>
    <w:rsid w:val="00462A13"/>
    <w:rsid w:val="00462F2A"/>
    <w:rsid w:val="00463BA8"/>
    <w:rsid w:val="00470218"/>
    <w:rsid w:val="00482FA5"/>
    <w:rsid w:val="00484E6E"/>
    <w:rsid w:val="00487D31"/>
    <w:rsid w:val="004920C5"/>
    <w:rsid w:val="004927D6"/>
    <w:rsid w:val="00492E16"/>
    <w:rsid w:val="00494C04"/>
    <w:rsid w:val="0049557F"/>
    <w:rsid w:val="004965C3"/>
    <w:rsid w:val="004A0574"/>
    <w:rsid w:val="004A5804"/>
    <w:rsid w:val="004A794E"/>
    <w:rsid w:val="004B142E"/>
    <w:rsid w:val="004B44C1"/>
    <w:rsid w:val="004B623F"/>
    <w:rsid w:val="004C11DE"/>
    <w:rsid w:val="004C13DB"/>
    <w:rsid w:val="004D14AD"/>
    <w:rsid w:val="004D376C"/>
    <w:rsid w:val="004D3864"/>
    <w:rsid w:val="004D58CD"/>
    <w:rsid w:val="004D5EEF"/>
    <w:rsid w:val="004D7DC5"/>
    <w:rsid w:val="004E6410"/>
    <w:rsid w:val="004E7C93"/>
    <w:rsid w:val="00500939"/>
    <w:rsid w:val="00501FC7"/>
    <w:rsid w:val="005025F4"/>
    <w:rsid w:val="00502AAF"/>
    <w:rsid w:val="00511F85"/>
    <w:rsid w:val="00517B69"/>
    <w:rsid w:val="00520368"/>
    <w:rsid w:val="00523227"/>
    <w:rsid w:val="00523246"/>
    <w:rsid w:val="005237FD"/>
    <w:rsid w:val="00530F1E"/>
    <w:rsid w:val="00532F0D"/>
    <w:rsid w:val="00533C06"/>
    <w:rsid w:val="0053401E"/>
    <w:rsid w:val="00540B8E"/>
    <w:rsid w:val="00542636"/>
    <w:rsid w:val="00544AB5"/>
    <w:rsid w:val="00547AFC"/>
    <w:rsid w:val="0055022A"/>
    <w:rsid w:val="005503E5"/>
    <w:rsid w:val="00556F73"/>
    <w:rsid w:val="005576BE"/>
    <w:rsid w:val="00561787"/>
    <w:rsid w:val="0056193C"/>
    <w:rsid w:val="005650CD"/>
    <w:rsid w:val="00566AE8"/>
    <w:rsid w:val="005706D5"/>
    <w:rsid w:val="005759E4"/>
    <w:rsid w:val="005819D2"/>
    <w:rsid w:val="00582374"/>
    <w:rsid w:val="00584BC6"/>
    <w:rsid w:val="0058559D"/>
    <w:rsid w:val="00585A3B"/>
    <w:rsid w:val="00586D7A"/>
    <w:rsid w:val="00590FA0"/>
    <w:rsid w:val="005957D1"/>
    <w:rsid w:val="00597215"/>
    <w:rsid w:val="005A0FD0"/>
    <w:rsid w:val="005A5AF2"/>
    <w:rsid w:val="005A742F"/>
    <w:rsid w:val="005B7055"/>
    <w:rsid w:val="005C4763"/>
    <w:rsid w:val="005C4DB7"/>
    <w:rsid w:val="005C5DC8"/>
    <w:rsid w:val="005C661E"/>
    <w:rsid w:val="005D1E9E"/>
    <w:rsid w:val="005D48C8"/>
    <w:rsid w:val="005D58CE"/>
    <w:rsid w:val="005D6DB4"/>
    <w:rsid w:val="005E2760"/>
    <w:rsid w:val="005E2D13"/>
    <w:rsid w:val="005E350B"/>
    <w:rsid w:val="005F03A4"/>
    <w:rsid w:val="005F0C51"/>
    <w:rsid w:val="005F16DB"/>
    <w:rsid w:val="005F2BB5"/>
    <w:rsid w:val="005F3A96"/>
    <w:rsid w:val="005F4DBF"/>
    <w:rsid w:val="00600AA5"/>
    <w:rsid w:val="0060126D"/>
    <w:rsid w:val="0060146A"/>
    <w:rsid w:val="00601974"/>
    <w:rsid w:val="00601CE8"/>
    <w:rsid w:val="006045AF"/>
    <w:rsid w:val="006105E3"/>
    <w:rsid w:val="0061491F"/>
    <w:rsid w:val="00620DEF"/>
    <w:rsid w:val="00626DD6"/>
    <w:rsid w:val="006331E3"/>
    <w:rsid w:val="00633C62"/>
    <w:rsid w:val="006361F0"/>
    <w:rsid w:val="006375ED"/>
    <w:rsid w:val="00640861"/>
    <w:rsid w:val="00640BDC"/>
    <w:rsid w:val="00646004"/>
    <w:rsid w:val="00646AD1"/>
    <w:rsid w:val="00650E4E"/>
    <w:rsid w:val="00654D9D"/>
    <w:rsid w:val="00660C02"/>
    <w:rsid w:val="0066130F"/>
    <w:rsid w:val="006645D9"/>
    <w:rsid w:val="00667637"/>
    <w:rsid w:val="0067150D"/>
    <w:rsid w:val="00673A29"/>
    <w:rsid w:val="006766F4"/>
    <w:rsid w:val="0068250F"/>
    <w:rsid w:val="00685FFE"/>
    <w:rsid w:val="00686729"/>
    <w:rsid w:val="00694174"/>
    <w:rsid w:val="006A27BC"/>
    <w:rsid w:val="006A27D6"/>
    <w:rsid w:val="006A3A42"/>
    <w:rsid w:val="006A5FD7"/>
    <w:rsid w:val="006B143E"/>
    <w:rsid w:val="006B30E3"/>
    <w:rsid w:val="006B5E72"/>
    <w:rsid w:val="006B6205"/>
    <w:rsid w:val="006C058F"/>
    <w:rsid w:val="006C7A04"/>
    <w:rsid w:val="006D1B83"/>
    <w:rsid w:val="006D1BE7"/>
    <w:rsid w:val="006D6FCC"/>
    <w:rsid w:val="006E26E8"/>
    <w:rsid w:val="006F4894"/>
    <w:rsid w:val="00700672"/>
    <w:rsid w:val="00701319"/>
    <w:rsid w:val="00706127"/>
    <w:rsid w:val="00712A93"/>
    <w:rsid w:val="00714CF1"/>
    <w:rsid w:val="00715CEB"/>
    <w:rsid w:val="00717A58"/>
    <w:rsid w:val="00722924"/>
    <w:rsid w:val="00723F1A"/>
    <w:rsid w:val="007319AD"/>
    <w:rsid w:val="00740240"/>
    <w:rsid w:val="00742895"/>
    <w:rsid w:val="00742BC9"/>
    <w:rsid w:val="00743D5F"/>
    <w:rsid w:val="00745634"/>
    <w:rsid w:val="00746A92"/>
    <w:rsid w:val="00747EAE"/>
    <w:rsid w:val="00750DEB"/>
    <w:rsid w:val="007515C1"/>
    <w:rsid w:val="007557BC"/>
    <w:rsid w:val="00762976"/>
    <w:rsid w:val="00766834"/>
    <w:rsid w:val="00766EC7"/>
    <w:rsid w:val="0077082D"/>
    <w:rsid w:val="0077181C"/>
    <w:rsid w:val="0077499E"/>
    <w:rsid w:val="007752E2"/>
    <w:rsid w:val="00783479"/>
    <w:rsid w:val="00784B5D"/>
    <w:rsid w:val="00791384"/>
    <w:rsid w:val="00791D74"/>
    <w:rsid w:val="0079708B"/>
    <w:rsid w:val="0079779E"/>
    <w:rsid w:val="007A6DC9"/>
    <w:rsid w:val="007A71B5"/>
    <w:rsid w:val="007A797E"/>
    <w:rsid w:val="007C0E7E"/>
    <w:rsid w:val="007D009C"/>
    <w:rsid w:val="007D2162"/>
    <w:rsid w:val="007D62D9"/>
    <w:rsid w:val="007D73C9"/>
    <w:rsid w:val="007E28C1"/>
    <w:rsid w:val="007F2086"/>
    <w:rsid w:val="00801004"/>
    <w:rsid w:val="008058BC"/>
    <w:rsid w:val="00807854"/>
    <w:rsid w:val="00811A90"/>
    <w:rsid w:val="00815C4F"/>
    <w:rsid w:val="0082026A"/>
    <w:rsid w:val="00824136"/>
    <w:rsid w:val="00826075"/>
    <w:rsid w:val="008267CA"/>
    <w:rsid w:val="00826A19"/>
    <w:rsid w:val="008317C8"/>
    <w:rsid w:val="00831915"/>
    <w:rsid w:val="0083305B"/>
    <w:rsid w:val="00834578"/>
    <w:rsid w:val="00841EAB"/>
    <w:rsid w:val="00844977"/>
    <w:rsid w:val="00845BB4"/>
    <w:rsid w:val="00847BF3"/>
    <w:rsid w:val="00853D0B"/>
    <w:rsid w:val="00854B16"/>
    <w:rsid w:val="00854BCA"/>
    <w:rsid w:val="00855A43"/>
    <w:rsid w:val="008561BF"/>
    <w:rsid w:val="008633B6"/>
    <w:rsid w:val="00866481"/>
    <w:rsid w:val="0087076A"/>
    <w:rsid w:val="00870853"/>
    <w:rsid w:val="008731E4"/>
    <w:rsid w:val="008745D6"/>
    <w:rsid w:val="00874DCA"/>
    <w:rsid w:val="00875D64"/>
    <w:rsid w:val="00875E32"/>
    <w:rsid w:val="0087668E"/>
    <w:rsid w:val="0088277A"/>
    <w:rsid w:val="0088297B"/>
    <w:rsid w:val="00890A70"/>
    <w:rsid w:val="00890F9C"/>
    <w:rsid w:val="008928B6"/>
    <w:rsid w:val="00894CA0"/>
    <w:rsid w:val="00895461"/>
    <w:rsid w:val="00897C5E"/>
    <w:rsid w:val="008A2307"/>
    <w:rsid w:val="008A2B8F"/>
    <w:rsid w:val="008A2BB7"/>
    <w:rsid w:val="008B38EE"/>
    <w:rsid w:val="008B55B4"/>
    <w:rsid w:val="008B6A00"/>
    <w:rsid w:val="008C0269"/>
    <w:rsid w:val="008C257C"/>
    <w:rsid w:val="008D0FDE"/>
    <w:rsid w:val="008D7542"/>
    <w:rsid w:val="008D7F7C"/>
    <w:rsid w:val="008E0835"/>
    <w:rsid w:val="008E16ED"/>
    <w:rsid w:val="008E280E"/>
    <w:rsid w:val="008E2BA7"/>
    <w:rsid w:val="008E5642"/>
    <w:rsid w:val="008E5CC2"/>
    <w:rsid w:val="008F2E20"/>
    <w:rsid w:val="00901036"/>
    <w:rsid w:val="00904309"/>
    <w:rsid w:val="00904BFC"/>
    <w:rsid w:val="00906692"/>
    <w:rsid w:val="00906CF8"/>
    <w:rsid w:val="0090752A"/>
    <w:rsid w:val="00912D60"/>
    <w:rsid w:val="009140A2"/>
    <w:rsid w:val="00923B20"/>
    <w:rsid w:val="009263DF"/>
    <w:rsid w:val="0093167C"/>
    <w:rsid w:val="00932A3A"/>
    <w:rsid w:val="00934143"/>
    <w:rsid w:val="00935444"/>
    <w:rsid w:val="00942696"/>
    <w:rsid w:val="00944802"/>
    <w:rsid w:val="009470DD"/>
    <w:rsid w:val="009518D9"/>
    <w:rsid w:val="0095236F"/>
    <w:rsid w:val="00952404"/>
    <w:rsid w:val="00953350"/>
    <w:rsid w:val="0096737A"/>
    <w:rsid w:val="0097392A"/>
    <w:rsid w:val="00977C0A"/>
    <w:rsid w:val="0098512F"/>
    <w:rsid w:val="0098550A"/>
    <w:rsid w:val="00985728"/>
    <w:rsid w:val="009857DD"/>
    <w:rsid w:val="009859AB"/>
    <w:rsid w:val="00987A4E"/>
    <w:rsid w:val="009907A9"/>
    <w:rsid w:val="00993DE4"/>
    <w:rsid w:val="00993F38"/>
    <w:rsid w:val="00994A4B"/>
    <w:rsid w:val="009A12ED"/>
    <w:rsid w:val="009A201F"/>
    <w:rsid w:val="009A62FC"/>
    <w:rsid w:val="009A6989"/>
    <w:rsid w:val="009B105E"/>
    <w:rsid w:val="009B396E"/>
    <w:rsid w:val="009B39A2"/>
    <w:rsid w:val="009B3B97"/>
    <w:rsid w:val="009B567A"/>
    <w:rsid w:val="009C5C75"/>
    <w:rsid w:val="009D2A29"/>
    <w:rsid w:val="009E1362"/>
    <w:rsid w:val="009E1F6B"/>
    <w:rsid w:val="009E3E77"/>
    <w:rsid w:val="009E4DF2"/>
    <w:rsid w:val="009E6D60"/>
    <w:rsid w:val="009F3962"/>
    <w:rsid w:val="009F7401"/>
    <w:rsid w:val="009F78F2"/>
    <w:rsid w:val="00A10857"/>
    <w:rsid w:val="00A1269B"/>
    <w:rsid w:val="00A130F9"/>
    <w:rsid w:val="00A1585F"/>
    <w:rsid w:val="00A16000"/>
    <w:rsid w:val="00A16398"/>
    <w:rsid w:val="00A211A3"/>
    <w:rsid w:val="00A24629"/>
    <w:rsid w:val="00A25A27"/>
    <w:rsid w:val="00A27485"/>
    <w:rsid w:val="00A30038"/>
    <w:rsid w:val="00A309E8"/>
    <w:rsid w:val="00A3514D"/>
    <w:rsid w:val="00A40F98"/>
    <w:rsid w:val="00A41EF2"/>
    <w:rsid w:val="00A42619"/>
    <w:rsid w:val="00A4267D"/>
    <w:rsid w:val="00A427B2"/>
    <w:rsid w:val="00A47D62"/>
    <w:rsid w:val="00A53CDD"/>
    <w:rsid w:val="00A5538A"/>
    <w:rsid w:val="00A564AE"/>
    <w:rsid w:val="00A62886"/>
    <w:rsid w:val="00A63E79"/>
    <w:rsid w:val="00A672B2"/>
    <w:rsid w:val="00A74C51"/>
    <w:rsid w:val="00A77682"/>
    <w:rsid w:val="00A80C19"/>
    <w:rsid w:val="00A83750"/>
    <w:rsid w:val="00A9067C"/>
    <w:rsid w:val="00A90A24"/>
    <w:rsid w:val="00A90BD3"/>
    <w:rsid w:val="00A91402"/>
    <w:rsid w:val="00AA0DFE"/>
    <w:rsid w:val="00AA262E"/>
    <w:rsid w:val="00AA3174"/>
    <w:rsid w:val="00AA3A41"/>
    <w:rsid w:val="00AA6D45"/>
    <w:rsid w:val="00AA7585"/>
    <w:rsid w:val="00AB031D"/>
    <w:rsid w:val="00AB08A6"/>
    <w:rsid w:val="00AB18B3"/>
    <w:rsid w:val="00AB1A1E"/>
    <w:rsid w:val="00AB236C"/>
    <w:rsid w:val="00AC06B6"/>
    <w:rsid w:val="00AD35F3"/>
    <w:rsid w:val="00AD4CAC"/>
    <w:rsid w:val="00AD528F"/>
    <w:rsid w:val="00AD6EB3"/>
    <w:rsid w:val="00AD741D"/>
    <w:rsid w:val="00AD751D"/>
    <w:rsid w:val="00AD791C"/>
    <w:rsid w:val="00AE4F42"/>
    <w:rsid w:val="00AE728D"/>
    <w:rsid w:val="00AF2833"/>
    <w:rsid w:val="00AF3716"/>
    <w:rsid w:val="00AF3C46"/>
    <w:rsid w:val="00AF43E1"/>
    <w:rsid w:val="00AF4D71"/>
    <w:rsid w:val="00B0092E"/>
    <w:rsid w:val="00B018E8"/>
    <w:rsid w:val="00B03BF6"/>
    <w:rsid w:val="00B04A55"/>
    <w:rsid w:val="00B04D46"/>
    <w:rsid w:val="00B10F47"/>
    <w:rsid w:val="00B1385B"/>
    <w:rsid w:val="00B15DBF"/>
    <w:rsid w:val="00B17D70"/>
    <w:rsid w:val="00B22AD7"/>
    <w:rsid w:val="00B22D31"/>
    <w:rsid w:val="00B27853"/>
    <w:rsid w:val="00B306F7"/>
    <w:rsid w:val="00B30FE2"/>
    <w:rsid w:val="00B32C71"/>
    <w:rsid w:val="00B330C4"/>
    <w:rsid w:val="00B33F79"/>
    <w:rsid w:val="00B37580"/>
    <w:rsid w:val="00B52215"/>
    <w:rsid w:val="00B530CA"/>
    <w:rsid w:val="00B53AC4"/>
    <w:rsid w:val="00B54527"/>
    <w:rsid w:val="00B57ADA"/>
    <w:rsid w:val="00B6496C"/>
    <w:rsid w:val="00B65962"/>
    <w:rsid w:val="00B721DC"/>
    <w:rsid w:val="00B7669D"/>
    <w:rsid w:val="00B82D73"/>
    <w:rsid w:val="00B84A2C"/>
    <w:rsid w:val="00B871D6"/>
    <w:rsid w:val="00BA0DCC"/>
    <w:rsid w:val="00BB2D9C"/>
    <w:rsid w:val="00BB3512"/>
    <w:rsid w:val="00BB5D1E"/>
    <w:rsid w:val="00BB7ED6"/>
    <w:rsid w:val="00BC137A"/>
    <w:rsid w:val="00BC4347"/>
    <w:rsid w:val="00BC45E0"/>
    <w:rsid w:val="00BC7BCB"/>
    <w:rsid w:val="00BD109B"/>
    <w:rsid w:val="00BD2944"/>
    <w:rsid w:val="00BD2B5E"/>
    <w:rsid w:val="00BD531B"/>
    <w:rsid w:val="00BE00E5"/>
    <w:rsid w:val="00BE4A21"/>
    <w:rsid w:val="00BE7E27"/>
    <w:rsid w:val="00BF183C"/>
    <w:rsid w:val="00C12603"/>
    <w:rsid w:val="00C131FD"/>
    <w:rsid w:val="00C21959"/>
    <w:rsid w:val="00C30A7D"/>
    <w:rsid w:val="00C31169"/>
    <w:rsid w:val="00C3169F"/>
    <w:rsid w:val="00C318F6"/>
    <w:rsid w:val="00C37522"/>
    <w:rsid w:val="00C42EFD"/>
    <w:rsid w:val="00C43D8B"/>
    <w:rsid w:val="00C44042"/>
    <w:rsid w:val="00C46AF0"/>
    <w:rsid w:val="00C52956"/>
    <w:rsid w:val="00C53AE1"/>
    <w:rsid w:val="00C53CAD"/>
    <w:rsid w:val="00C54893"/>
    <w:rsid w:val="00C56EB6"/>
    <w:rsid w:val="00C66E11"/>
    <w:rsid w:val="00C6789D"/>
    <w:rsid w:val="00C73FFD"/>
    <w:rsid w:val="00C74512"/>
    <w:rsid w:val="00C84F07"/>
    <w:rsid w:val="00C851A6"/>
    <w:rsid w:val="00C855D4"/>
    <w:rsid w:val="00C87639"/>
    <w:rsid w:val="00C9240A"/>
    <w:rsid w:val="00C93D5B"/>
    <w:rsid w:val="00C9442C"/>
    <w:rsid w:val="00C95BCF"/>
    <w:rsid w:val="00C95D16"/>
    <w:rsid w:val="00C95DCF"/>
    <w:rsid w:val="00CA23C4"/>
    <w:rsid w:val="00CA575F"/>
    <w:rsid w:val="00CA6114"/>
    <w:rsid w:val="00CB0797"/>
    <w:rsid w:val="00CB644C"/>
    <w:rsid w:val="00CC550E"/>
    <w:rsid w:val="00CC5AC6"/>
    <w:rsid w:val="00CD1628"/>
    <w:rsid w:val="00CD1D27"/>
    <w:rsid w:val="00CD3807"/>
    <w:rsid w:val="00CD3AE7"/>
    <w:rsid w:val="00CD5194"/>
    <w:rsid w:val="00CD5981"/>
    <w:rsid w:val="00CD79FA"/>
    <w:rsid w:val="00CE10E6"/>
    <w:rsid w:val="00CE59A8"/>
    <w:rsid w:val="00CE657B"/>
    <w:rsid w:val="00CF0873"/>
    <w:rsid w:val="00CF237E"/>
    <w:rsid w:val="00CF53F5"/>
    <w:rsid w:val="00CF6B3F"/>
    <w:rsid w:val="00D002B4"/>
    <w:rsid w:val="00D03845"/>
    <w:rsid w:val="00D03DCB"/>
    <w:rsid w:val="00D14FC0"/>
    <w:rsid w:val="00D16943"/>
    <w:rsid w:val="00D211AE"/>
    <w:rsid w:val="00D23DE4"/>
    <w:rsid w:val="00D24867"/>
    <w:rsid w:val="00D318E3"/>
    <w:rsid w:val="00D416EB"/>
    <w:rsid w:val="00D41B20"/>
    <w:rsid w:val="00D44615"/>
    <w:rsid w:val="00D45321"/>
    <w:rsid w:val="00D55A28"/>
    <w:rsid w:val="00D5605F"/>
    <w:rsid w:val="00D62519"/>
    <w:rsid w:val="00D625AA"/>
    <w:rsid w:val="00D63CBD"/>
    <w:rsid w:val="00D66392"/>
    <w:rsid w:val="00D66959"/>
    <w:rsid w:val="00D70A39"/>
    <w:rsid w:val="00D71A7E"/>
    <w:rsid w:val="00D7643D"/>
    <w:rsid w:val="00D76DE0"/>
    <w:rsid w:val="00D80DF0"/>
    <w:rsid w:val="00D83ED5"/>
    <w:rsid w:val="00D870D4"/>
    <w:rsid w:val="00D9398E"/>
    <w:rsid w:val="00D954E0"/>
    <w:rsid w:val="00D97059"/>
    <w:rsid w:val="00D97A1D"/>
    <w:rsid w:val="00DA0181"/>
    <w:rsid w:val="00DA2C81"/>
    <w:rsid w:val="00DB0923"/>
    <w:rsid w:val="00DB29CA"/>
    <w:rsid w:val="00DB30C8"/>
    <w:rsid w:val="00DB5F2B"/>
    <w:rsid w:val="00DB74AF"/>
    <w:rsid w:val="00DC1AB8"/>
    <w:rsid w:val="00DC5C19"/>
    <w:rsid w:val="00DC7068"/>
    <w:rsid w:val="00DD6B9B"/>
    <w:rsid w:val="00DE07A1"/>
    <w:rsid w:val="00DE21A2"/>
    <w:rsid w:val="00DE2776"/>
    <w:rsid w:val="00DF1DAC"/>
    <w:rsid w:val="00DF60E6"/>
    <w:rsid w:val="00DF6105"/>
    <w:rsid w:val="00E1021D"/>
    <w:rsid w:val="00E1428E"/>
    <w:rsid w:val="00E14900"/>
    <w:rsid w:val="00E218D3"/>
    <w:rsid w:val="00E27565"/>
    <w:rsid w:val="00E30DE6"/>
    <w:rsid w:val="00E31944"/>
    <w:rsid w:val="00E32395"/>
    <w:rsid w:val="00E332E3"/>
    <w:rsid w:val="00E35435"/>
    <w:rsid w:val="00E37194"/>
    <w:rsid w:val="00E43977"/>
    <w:rsid w:val="00E4415D"/>
    <w:rsid w:val="00E44AB8"/>
    <w:rsid w:val="00E50D3F"/>
    <w:rsid w:val="00E520BE"/>
    <w:rsid w:val="00E54E17"/>
    <w:rsid w:val="00E56A7A"/>
    <w:rsid w:val="00E60419"/>
    <w:rsid w:val="00E60E01"/>
    <w:rsid w:val="00E617D3"/>
    <w:rsid w:val="00E633C1"/>
    <w:rsid w:val="00E667B0"/>
    <w:rsid w:val="00E67390"/>
    <w:rsid w:val="00E71365"/>
    <w:rsid w:val="00E83B51"/>
    <w:rsid w:val="00E86BDE"/>
    <w:rsid w:val="00E8762F"/>
    <w:rsid w:val="00E90AB8"/>
    <w:rsid w:val="00E93C8B"/>
    <w:rsid w:val="00E93D8F"/>
    <w:rsid w:val="00E97E05"/>
    <w:rsid w:val="00EA34E2"/>
    <w:rsid w:val="00EA52D1"/>
    <w:rsid w:val="00EB671F"/>
    <w:rsid w:val="00EB70E7"/>
    <w:rsid w:val="00EB76D6"/>
    <w:rsid w:val="00EC02E8"/>
    <w:rsid w:val="00EC3842"/>
    <w:rsid w:val="00EC4299"/>
    <w:rsid w:val="00EC4D4D"/>
    <w:rsid w:val="00EC5D5D"/>
    <w:rsid w:val="00EC7908"/>
    <w:rsid w:val="00EC7C2B"/>
    <w:rsid w:val="00ED1F02"/>
    <w:rsid w:val="00EE15B5"/>
    <w:rsid w:val="00EE20A1"/>
    <w:rsid w:val="00EE74AF"/>
    <w:rsid w:val="00EF518E"/>
    <w:rsid w:val="00EF5DF0"/>
    <w:rsid w:val="00EF69AE"/>
    <w:rsid w:val="00EF6E2C"/>
    <w:rsid w:val="00F0782D"/>
    <w:rsid w:val="00F11EB3"/>
    <w:rsid w:val="00F14B9B"/>
    <w:rsid w:val="00F14CCC"/>
    <w:rsid w:val="00F17988"/>
    <w:rsid w:val="00F20C09"/>
    <w:rsid w:val="00F217DF"/>
    <w:rsid w:val="00F21CAE"/>
    <w:rsid w:val="00F22AE0"/>
    <w:rsid w:val="00F26701"/>
    <w:rsid w:val="00F310D7"/>
    <w:rsid w:val="00F368B9"/>
    <w:rsid w:val="00F3739F"/>
    <w:rsid w:val="00F374C1"/>
    <w:rsid w:val="00F37B34"/>
    <w:rsid w:val="00F41C34"/>
    <w:rsid w:val="00F447DB"/>
    <w:rsid w:val="00F469B9"/>
    <w:rsid w:val="00F46C32"/>
    <w:rsid w:val="00F46ECB"/>
    <w:rsid w:val="00F525B5"/>
    <w:rsid w:val="00F543B9"/>
    <w:rsid w:val="00F56177"/>
    <w:rsid w:val="00F62365"/>
    <w:rsid w:val="00F630A7"/>
    <w:rsid w:val="00F6708D"/>
    <w:rsid w:val="00F71AD5"/>
    <w:rsid w:val="00F74F50"/>
    <w:rsid w:val="00F77822"/>
    <w:rsid w:val="00F83B0D"/>
    <w:rsid w:val="00F83C31"/>
    <w:rsid w:val="00F85F05"/>
    <w:rsid w:val="00F86AD1"/>
    <w:rsid w:val="00F9222A"/>
    <w:rsid w:val="00F922EA"/>
    <w:rsid w:val="00F92927"/>
    <w:rsid w:val="00F979B3"/>
    <w:rsid w:val="00F97CCD"/>
    <w:rsid w:val="00FA320D"/>
    <w:rsid w:val="00FA362B"/>
    <w:rsid w:val="00FA53E9"/>
    <w:rsid w:val="00FA60EC"/>
    <w:rsid w:val="00FB04E9"/>
    <w:rsid w:val="00FB1179"/>
    <w:rsid w:val="00FB1C6B"/>
    <w:rsid w:val="00FB4841"/>
    <w:rsid w:val="00FB6C94"/>
    <w:rsid w:val="00FB7F8B"/>
    <w:rsid w:val="00FC3753"/>
    <w:rsid w:val="00FC5743"/>
    <w:rsid w:val="00FC6240"/>
    <w:rsid w:val="00FD118C"/>
    <w:rsid w:val="00FD332F"/>
    <w:rsid w:val="00FE1CC1"/>
    <w:rsid w:val="00FE385E"/>
    <w:rsid w:val="00FE3CE2"/>
    <w:rsid w:val="00FE5633"/>
    <w:rsid w:val="00FE6F7A"/>
    <w:rsid w:val="00FE7B14"/>
    <w:rsid w:val="00FF0846"/>
    <w:rsid w:val="00FF248B"/>
    <w:rsid w:val="00FF3E6F"/>
    <w:rsid w:val="00FF7425"/>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5081F618"/>
  <w15:docId w15:val="{87BBAC06-07E2-4CCB-8CEB-AA8C3D03E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multimidia/2017/4/pdf/00315136.pdf" TargetMode="External"/><Relationship Id="rId13" Type="http://schemas.openxmlformats.org/officeDocument/2006/relationships/hyperlink" Target="http://www1.tce.pr.gov.br/multimidia/2017/4/pdf/00315095.pdf" TargetMode="External"/><Relationship Id="rId18" Type="http://schemas.openxmlformats.org/officeDocument/2006/relationships/hyperlink" Target="https://ww2.stj.jus.br/processo/revista/documento/mediado/?componente=ATC&amp;sequencial=66735909&amp;num_registro=201303629730&amp;data=20170331&amp;tipo=51&amp;formato=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contas.tcu.gov.br/sagas/SvlVisualizarRelVotoAcRtf?codFiltro=SAGAS-SESSAO-ENCERRADA&amp;seOcultaPagina=S&amp;item0=585833" TargetMode="External"/><Relationship Id="rId7" Type="http://schemas.openxmlformats.org/officeDocument/2006/relationships/endnotes" Target="endnotes.xml"/><Relationship Id="rId12" Type="http://schemas.openxmlformats.org/officeDocument/2006/relationships/hyperlink" Target="http://www1.tce.pr.gov.br/multimidia/2017/4/pdf/00314932.pdf" TargetMode="External"/><Relationship Id="rId17" Type="http://schemas.openxmlformats.org/officeDocument/2006/relationships/hyperlink" Target="http://www.stf.jus.br/portal/processo/verProcessoAndamento.asp?numero=3753&amp;classe=INQ&amp;origem=AP&amp;recurso=0&amp;tipoJulgament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1.tce.pr.gov.br/multimidia/2017/4/pdf/00314897.pdf" TargetMode="External"/><Relationship Id="rId20" Type="http://schemas.openxmlformats.org/officeDocument/2006/relationships/hyperlink" Target="https://contas.tcu.gov.br/sagas/SvlVisualizarRelVotoAcRtf?codFiltro=SAGAS-SESSAO-ENCERRADA&amp;seOcultaPagina=S&amp;item0=57834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multimidia/2017/4/pdf/00315127.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1.tce.pr.gov.br/multimidia/2017/4/pdf/00314896.pdf" TargetMode="External"/><Relationship Id="rId23" Type="http://schemas.openxmlformats.org/officeDocument/2006/relationships/hyperlink" Target="http://www.olacefs.com/wp-content/uploads/2016/04/03-AG-folleto-AC-obras-viales.pdf" TargetMode="External"/><Relationship Id="rId10" Type="http://schemas.openxmlformats.org/officeDocument/2006/relationships/hyperlink" Target="http://www1.tce.pr.gov.br/multimidia/2017/4/pdf/00315104.pdf" TargetMode="External"/><Relationship Id="rId19" Type="http://schemas.openxmlformats.org/officeDocument/2006/relationships/hyperlink" Target="https://ww2.stj.jus.br/processo/revista/documento/mediado/?componente=ATC&amp;sequencial=63474099&amp;num_registro=201500178055&amp;data=20170317&amp;tipo=51&amp;formato=PDF" TargetMode="External"/><Relationship Id="rId4" Type="http://schemas.openxmlformats.org/officeDocument/2006/relationships/settings" Target="settings.xml"/><Relationship Id="rId9" Type="http://schemas.openxmlformats.org/officeDocument/2006/relationships/hyperlink" Target="http://www1.tce.pr.gov.br/multimidia/2017/4/pdf/00315298.pdf" TargetMode="External"/><Relationship Id="rId14" Type="http://schemas.openxmlformats.org/officeDocument/2006/relationships/hyperlink" Target="http://www1.tce.pr.gov.br/multimidia/2017/4/pdf/00314841.pdf" TargetMode="External"/><Relationship Id="rId22" Type="http://schemas.openxmlformats.org/officeDocument/2006/relationships/hyperlink" Target="https://contas.tcu.gov.br/sagas/SvlVisualizarRelVotoAcRtf?codFiltro=SAGAS-SESSAO-ENCERRADA&amp;seOcultaPagina=S&amp;item0=577255"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6982E-A31C-4BDA-986D-7EA5D6AE4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8</Pages>
  <Words>3154</Words>
  <Characters>17032</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Tiago Moraes Ribeiro</cp:lastModifiedBy>
  <cp:revision>82</cp:revision>
  <cp:lastPrinted>2017-04-24T19:06:00Z</cp:lastPrinted>
  <dcterms:created xsi:type="dcterms:W3CDTF">2017-05-03T18:29:00Z</dcterms:created>
  <dcterms:modified xsi:type="dcterms:W3CDTF">2018-02-27T16:29:00Z</dcterms:modified>
</cp:coreProperties>
</file>