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62C6AF0" w14:textId="77777777" w:rsidR="003546F5" w:rsidRDefault="003546F5" w:rsidP="000258EA">
      <w:pPr>
        <w:keepNext/>
        <w:spacing w:before="240" w:after="120" w:line="240" w:lineRule="auto"/>
        <w:jc w:val="center"/>
        <w:outlineLvl w:val="0"/>
        <w:rPr>
          <w:rFonts w:ascii="Arial" w:hAnsi="Arial" w:cs="Arial"/>
          <w:b/>
          <w:sz w:val="28"/>
          <w:szCs w:val="28"/>
        </w:rPr>
      </w:pPr>
      <w:bookmarkStart w:id="0" w:name="_Toc10714170"/>
      <w:r w:rsidRPr="000258EA">
        <w:rPr>
          <w:rFonts w:ascii="Arial" w:hAnsi="Arial" w:cs="Arial"/>
          <w:b/>
          <w:bCs/>
          <w:kern w:val="32"/>
          <w:sz w:val="28"/>
          <w:szCs w:val="28"/>
        </w:rPr>
        <w:t>RESOLUÇÃO</w:t>
      </w:r>
      <w:bookmarkEnd w:id="0"/>
      <w:r w:rsidR="000258EA">
        <w:rPr>
          <w:rFonts w:ascii="Arial" w:hAnsi="Arial" w:cs="Arial"/>
          <w:b/>
          <w:bCs/>
          <w:kern w:val="32"/>
          <w:sz w:val="28"/>
          <w:szCs w:val="28"/>
        </w:rPr>
        <w:t xml:space="preserve"> </w:t>
      </w:r>
      <w:r w:rsidR="000258EA" w:rsidRPr="000258EA">
        <w:rPr>
          <w:rFonts w:ascii="Arial" w:hAnsi="Arial" w:cs="Arial"/>
          <w:b/>
          <w:sz w:val="28"/>
          <w:szCs w:val="28"/>
        </w:rPr>
        <w:t>Nº 7</w:t>
      </w:r>
      <w:r w:rsidR="00FE2DB3">
        <w:rPr>
          <w:rFonts w:ascii="Arial" w:hAnsi="Arial" w:cs="Arial"/>
          <w:b/>
          <w:sz w:val="28"/>
          <w:szCs w:val="28"/>
        </w:rPr>
        <w:t>2</w:t>
      </w:r>
      <w:r w:rsidR="000258EA" w:rsidRPr="000258EA">
        <w:rPr>
          <w:rFonts w:ascii="Arial" w:hAnsi="Arial" w:cs="Arial"/>
          <w:b/>
          <w:sz w:val="28"/>
          <w:szCs w:val="28"/>
        </w:rPr>
        <w:t>/2019</w:t>
      </w:r>
      <w:r w:rsidR="00FA6594">
        <w:rPr>
          <w:rStyle w:val="Refdenotaderodap"/>
          <w:rFonts w:ascii="Arial" w:hAnsi="Arial" w:cs="Arial"/>
          <w:b/>
          <w:sz w:val="28"/>
          <w:szCs w:val="28"/>
        </w:rPr>
        <w:footnoteReference w:id="1"/>
      </w:r>
    </w:p>
    <w:p w14:paraId="5935288F" w14:textId="77777777" w:rsidR="003546F5" w:rsidRDefault="003546F5" w:rsidP="000A3060">
      <w:pPr>
        <w:spacing w:before="360" w:after="360" w:line="240" w:lineRule="auto"/>
        <w:ind w:left="4536"/>
        <w:jc w:val="both"/>
        <w:rPr>
          <w:rFonts w:ascii="Arial" w:hAnsi="Arial" w:cs="Arial"/>
          <w:i/>
          <w:szCs w:val="24"/>
        </w:rPr>
      </w:pPr>
      <w:r>
        <w:rPr>
          <w:rFonts w:ascii="Arial" w:hAnsi="Arial" w:cs="Arial"/>
          <w:i/>
          <w:szCs w:val="24"/>
        </w:rPr>
        <w:t>Dispõe sobre a Política de Gestão de Riscos do Tribunal de Contas do Estado do Paraná.</w:t>
      </w:r>
    </w:p>
    <w:p w14:paraId="6761E717" w14:textId="1EA966B8" w:rsidR="003546F5" w:rsidRPr="00E17FE3" w:rsidRDefault="003546F5" w:rsidP="000258EA">
      <w:pPr>
        <w:spacing w:before="120" w:after="0" w:line="240" w:lineRule="auto"/>
        <w:ind w:firstLine="1134"/>
        <w:jc w:val="both"/>
        <w:rPr>
          <w:rFonts w:ascii="Arial" w:hAnsi="Arial" w:cs="Arial"/>
          <w:sz w:val="24"/>
          <w:szCs w:val="24"/>
        </w:rPr>
      </w:pPr>
      <w:bookmarkStart w:id="1" w:name="_Hlk520106632"/>
      <w:r w:rsidRPr="00E17FE3">
        <w:rPr>
          <w:rFonts w:ascii="Arial" w:hAnsi="Arial" w:cs="Arial"/>
          <w:sz w:val="24"/>
          <w:szCs w:val="24"/>
        </w:rPr>
        <w:t xml:space="preserve">O </w:t>
      </w:r>
      <w:r w:rsidRPr="00E17FE3">
        <w:rPr>
          <w:rFonts w:ascii="Arial" w:hAnsi="Arial" w:cs="Arial"/>
          <w:b/>
          <w:sz w:val="24"/>
          <w:szCs w:val="24"/>
        </w:rPr>
        <w:t>TRIBUNAL DE CONTAS DO ESTADO DO PARANÁ</w:t>
      </w:r>
      <w:r w:rsidRPr="00E17FE3">
        <w:rPr>
          <w:rFonts w:ascii="Arial" w:hAnsi="Arial" w:cs="Arial"/>
          <w:sz w:val="24"/>
          <w:szCs w:val="24"/>
        </w:rPr>
        <w:t xml:space="preserve">, no uso das atribuições institucionais estabelecidas nos </w:t>
      </w:r>
      <w:proofErr w:type="spellStart"/>
      <w:r w:rsidRPr="00E17FE3">
        <w:rPr>
          <w:rFonts w:ascii="Arial" w:hAnsi="Arial" w:cs="Arial"/>
          <w:sz w:val="24"/>
          <w:szCs w:val="24"/>
        </w:rPr>
        <w:t>arts</w:t>
      </w:r>
      <w:proofErr w:type="spellEnd"/>
      <w:r w:rsidRPr="00E17FE3">
        <w:rPr>
          <w:rFonts w:ascii="Arial" w:hAnsi="Arial" w:cs="Arial"/>
          <w:sz w:val="24"/>
          <w:szCs w:val="24"/>
        </w:rPr>
        <w:t>. 2º, I, e 116, XII, e parágrafo único, da Lei Complementar nº 113, de 15 de dezembro de 2005, e no art. 5º, XIII, do Regimento Interno, com base no art. 188, também do Regimento Interno,</w:t>
      </w:r>
      <w:bookmarkEnd w:id="1"/>
      <w:r w:rsidRPr="00E17FE3">
        <w:rPr>
          <w:rFonts w:ascii="Arial" w:hAnsi="Arial" w:cs="Arial"/>
          <w:sz w:val="24"/>
          <w:szCs w:val="24"/>
        </w:rPr>
        <w:t xml:space="preserve"> e no </w:t>
      </w:r>
      <w:r w:rsidRPr="00872C23">
        <w:rPr>
          <w:rFonts w:ascii="Arial" w:hAnsi="Arial" w:cs="Arial"/>
          <w:sz w:val="24"/>
          <w:szCs w:val="24"/>
        </w:rPr>
        <w:t xml:space="preserve">Acórdão nº </w:t>
      </w:r>
      <w:r w:rsidR="000258EA" w:rsidRPr="00872C23">
        <w:rPr>
          <w:rFonts w:ascii="Arial" w:hAnsi="Arial" w:cs="Arial"/>
          <w:sz w:val="24"/>
          <w:szCs w:val="24"/>
        </w:rPr>
        <w:t>1.777/2019</w:t>
      </w:r>
      <w:r w:rsidRPr="00872C23">
        <w:rPr>
          <w:rFonts w:ascii="Arial" w:hAnsi="Arial" w:cs="Arial"/>
          <w:sz w:val="24"/>
          <w:szCs w:val="24"/>
        </w:rPr>
        <w:t xml:space="preserve"> - Tribunal Pleno</w:t>
      </w:r>
      <w:r w:rsidRPr="00E17FE3">
        <w:rPr>
          <w:rFonts w:ascii="Arial" w:hAnsi="Arial" w:cs="Arial"/>
          <w:sz w:val="24"/>
          <w:szCs w:val="24"/>
        </w:rPr>
        <w:t xml:space="preserve">, Processo nº </w:t>
      </w:r>
      <w:r w:rsidR="000258EA" w:rsidRPr="00E17FE3">
        <w:rPr>
          <w:rFonts w:ascii="Arial" w:hAnsi="Arial" w:cs="Arial"/>
          <w:sz w:val="24"/>
          <w:szCs w:val="24"/>
        </w:rPr>
        <w:t>3553</w:t>
      </w:r>
      <w:r w:rsidR="00F96DFD" w:rsidRPr="00E17FE3">
        <w:rPr>
          <w:rFonts w:ascii="Arial" w:hAnsi="Arial" w:cs="Arial"/>
          <w:sz w:val="24"/>
          <w:szCs w:val="24"/>
        </w:rPr>
        <w:t>4</w:t>
      </w:r>
      <w:r w:rsidR="000258EA" w:rsidRPr="00E17FE3">
        <w:rPr>
          <w:rFonts w:ascii="Arial" w:hAnsi="Arial" w:cs="Arial"/>
          <w:sz w:val="24"/>
          <w:szCs w:val="24"/>
        </w:rPr>
        <w:t>3/19</w:t>
      </w:r>
      <w:r w:rsidRPr="00E17FE3">
        <w:rPr>
          <w:rFonts w:ascii="Arial" w:hAnsi="Arial" w:cs="Arial"/>
          <w:sz w:val="24"/>
          <w:szCs w:val="24"/>
        </w:rPr>
        <w:t>.</w:t>
      </w:r>
    </w:p>
    <w:p w14:paraId="31EB41D6" w14:textId="77777777" w:rsidR="003546F5" w:rsidRPr="00E17FE3" w:rsidRDefault="003546F5" w:rsidP="003546F5">
      <w:pPr>
        <w:spacing w:before="240"/>
        <w:ind w:firstLine="1134"/>
        <w:rPr>
          <w:rFonts w:ascii="Arial" w:hAnsi="Arial" w:cs="Arial"/>
          <w:sz w:val="24"/>
          <w:szCs w:val="24"/>
        </w:rPr>
      </w:pPr>
      <w:r w:rsidRPr="00E17FE3">
        <w:rPr>
          <w:rFonts w:ascii="Arial" w:hAnsi="Arial" w:cs="Arial"/>
          <w:b/>
          <w:sz w:val="24"/>
          <w:szCs w:val="24"/>
        </w:rPr>
        <w:t>CONSIDERANDO</w:t>
      </w:r>
      <w:r w:rsidRPr="00E17FE3">
        <w:rPr>
          <w:rFonts w:ascii="Arial" w:hAnsi="Arial" w:cs="Arial"/>
          <w:sz w:val="24"/>
          <w:szCs w:val="24"/>
        </w:rPr>
        <w:t xml:space="preserve"> a normativa GOV 9.130/2017, aprovada no XIX Congresso Internacional da Organização Internacional de Entidades Fiscalizadoras Superiores - INTOSAI;</w:t>
      </w:r>
    </w:p>
    <w:p w14:paraId="29497879" w14:textId="77777777" w:rsidR="003546F5" w:rsidRPr="00E17FE3" w:rsidRDefault="003546F5" w:rsidP="000258EA">
      <w:pPr>
        <w:spacing w:before="120" w:after="0" w:line="240" w:lineRule="auto"/>
        <w:ind w:firstLine="1134"/>
        <w:jc w:val="both"/>
        <w:rPr>
          <w:rFonts w:ascii="Arial" w:hAnsi="Arial" w:cs="Arial"/>
          <w:sz w:val="24"/>
          <w:szCs w:val="24"/>
        </w:rPr>
      </w:pPr>
      <w:r w:rsidRPr="00E17FE3">
        <w:rPr>
          <w:rFonts w:ascii="Arial" w:hAnsi="Arial" w:cs="Arial"/>
          <w:b/>
          <w:sz w:val="24"/>
          <w:szCs w:val="24"/>
        </w:rPr>
        <w:t xml:space="preserve">CONSIDERANDO </w:t>
      </w:r>
      <w:r w:rsidRPr="00E17FE3">
        <w:rPr>
          <w:rFonts w:ascii="Arial" w:hAnsi="Arial" w:cs="Arial"/>
          <w:sz w:val="24"/>
          <w:szCs w:val="24"/>
        </w:rPr>
        <w:t>a Declaração de Vitória, aprovada no XXVII Congresso dos Tribunais de Contas do Brasil;</w:t>
      </w:r>
    </w:p>
    <w:p w14:paraId="029F899C" w14:textId="77777777" w:rsidR="003546F5" w:rsidRPr="00E17FE3" w:rsidRDefault="003546F5" w:rsidP="000258EA">
      <w:pPr>
        <w:spacing w:before="120" w:after="0" w:line="240" w:lineRule="auto"/>
        <w:ind w:firstLine="1134"/>
        <w:jc w:val="both"/>
        <w:rPr>
          <w:rFonts w:ascii="Arial" w:hAnsi="Arial" w:cs="Arial"/>
          <w:sz w:val="24"/>
          <w:szCs w:val="24"/>
        </w:rPr>
      </w:pPr>
      <w:r w:rsidRPr="00E17FE3">
        <w:rPr>
          <w:rFonts w:ascii="Arial" w:hAnsi="Arial" w:cs="Arial"/>
          <w:b/>
          <w:sz w:val="24"/>
          <w:szCs w:val="24"/>
        </w:rPr>
        <w:t>CONSIDERANDO</w:t>
      </w:r>
      <w:r w:rsidRPr="00E17FE3">
        <w:rPr>
          <w:rFonts w:ascii="Arial" w:hAnsi="Arial" w:cs="Arial"/>
          <w:sz w:val="24"/>
          <w:szCs w:val="24"/>
        </w:rPr>
        <w:t xml:space="preserve"> a Resolução nº 04/2014 da Associação dos Membros dos Tribunais de Contas do Brasil - ATRICON;</w:t>
      </w:r>
    </w:p>
    <w:p w14:paraId="3D6EDC5F" w14:textId="77777777" w:rsidR="003546F5" w:rsidRPr="00E17FE3" w:rsidRDefault="003546F5" w:rsidP="000258EA">
      <w:pPr>
        <w:spacing w:before="120" w:after="0" w:line="240" w:lineRule="auto"/>
        <w:ind w:firstLine="1134"/>
        <w:jc w:val="both"/>
        <w:rPr>
          <w:rFonts w:ascii="Arial" w:hAnsi="Arial" w:cs="Arial"/>
          <w:sz w:val="24"/>
          <w:szCs w:val="24"/>
        </w:rPr>
      </w:pPr>
      <w:r w:rsidRPr="00E17FE3">
        <w:rPr>
          <w:rFonts w:ascii="Arial" w:hAnsi="Arial" w:cs="Arial"/>
          <w:b/>
          <w:sz w:val="24"/>
          <w:szCs w:val="24"/>
        </w:rPr>
        <w:t xml:space="preserve">CONSIDERANDO </w:t>
      </w:r>
      <w:r w:rsidRPr="00E17FE3">
        <w:rPr>
          <w:rFonts w:ascii="Arial" w:hAnsi="Arial" w:cs="Arial"/>
          <w:sz w:val="24"/>
          <w:szCs w:val="24"/>
        </w:rPr>
        <w:t>o Marco de Medição do Desempenho – Qualidade e Agilidade dos Tribunais de Contas do Brasil (MMD-QATC) elaborado pela ATRICON;</w:t>
      </w:r>
    </w:p>
    <w:p w14:paraId="6108F2EB" w14:textId="77777777" w:rsidR="003546F5" w:rsidRPr="00E17FE3" w:rsidRDefault="003546F5" w:rsidP="000258EA">
      <w:pPr>
        <w:spacing w:before="120" w:after="0" w:line="240" w:lineRule="auto"/>
        <w:ind w:firstLine="1134"/>
        <w:jc w:val="both"/>
        <w:rPr>
          <w:rFonts w:ascii="Arial" w:hAnsi="Arial" w:cs="Arial"/>
          <w:sz w:val="24"/>
          <w:szCs w:val="24"/>
        </w:rPr>
      </w:pPr>
      <w:r w:rsidRPr="00E17FE3">
        <w:rPr>
          <w:rFonts w:ascii="Arial" w:hAnsi="Arial" w:cs="Arial"/>
          <w:b/>
          <w:sz w:val="24"/>
          <w:szCs w:val="24"/>
        </w:rPr>
        <w:t>CONSIDERANDO</w:t>
      </w:r>
      <w:r w:rsidRPr="00E17FE3">
        <w:rPr>
          <w:rFonts w:ascii="Arial" w:hAnsi="Arial" w:cs="Arial"/>
          <w:sz w:val="24"/>
          <w:szCs w:val="24"/>
        </w:rPr>
        <w:t xml:space="preserve"> a Resolução nº 287/2017 do Plenário do egrégio Tribunal de Contas da União, a qual dispõe sobre a política de gestão de riscos do TCU;</w:t>
      </w:r>
    </w:p>
    <w:p w14:paraId="2F5BFA03" w14:textId="77777777" w:rsidR="003546F5" w:rsidRPr="00E17FE3" w:rsidRDefault="003546F5" w:rsidP="000258EA">
      <w:pPr>
        <w:spacing w:before="120" w:after="0" w:line="240" w:lineRule="auto"/>
        <w:ind w:firstLine="1134"/>
        <w:jc w:val="both"/>
        <w:rPr>
          <w:rFonts w:ascii="Arial" w:hAnsi="Arial" w:cs="Arial"/>
          <w:sz w:val="24"/>
          <w:szCs w:val="24"/>
        </w:rPr>
      </w:pPr>
      <w:r w:rsidRPr="00E17FE3">
        <w:rPr>
          <w:rFonts w:ascii="Arial" w:hAnsi="Arial" w:cs="Arial"/>
          <w:b/>
          <w:sz w:val="24"/>
          <w:szCs w:val="24"/>
        </w:rPr>
        <w:t>CONSIDERANDO</w:t>
      </w:r>
      <w:r w:rsidRPr="00E17FE3">
        <w:rPr>
          <w:rFonts w:ascii="Arial" w:hAnsi="Arial" w:cs="Arial"/>
          <w:sz w:val="24"/>
          <w:szCs w:val="24"/>
        </w:rPr>
        <w:t xml:space="preserve"> que o Tribunal de Contas da União, assim como diversos Tribunais de Contas Estaduais, vem gradualmente implementando sistemas de Gestão de Riscos;</w:t>
      </w:r>
    </w:p>
    <w:p w14:paraId="76931A5B" w14:textId="77777777" w:rsidR="003546F5" w:rsidRPr="00E17FE3" w:rsidRDefault="003546F5" w:rsidP="000258EA">
      <w:pPr>
        <w:spacing w:before="120" w:after="0" w:line="240" w:lineRule="auto"/>
        <w:ind w:firstLine="1134"/>
        <w:jc w:val="both"/>
        <w:rPr>
          <w:rFonts w:ascii="Arial" w:hAnsi="Arial" w:cs="Arial"/>
          <w:sz w:val="24"/>
          <w:szCs w:val="24"/>
        </w:rPr>
      </w:pPr>
      <w:r w:rsidRPr="00E17FE3">
        <w:rPr>
          <w:rFonts w:ascii="Arial" w:hAnsi="Arial" w:cs="Arial"/>
          <w:b/>
          <w:sz w:val="24"/>
          <w:szCs w:val="24"/>
        </w:rPr>
        <w:t>CONSIDERANDO</w:t>
      </w:r>
      <w:r w:rsidRPr="00E17FE3">
        <w:rPr>
          <w:rFonts w:ascii="Arial" w:hAnsi="Arial" w:cs="Arial"/>
          <w:sz w:val="24"/>
          <w:szCs w:val="24"/>
        </w:rPr>
        <w:t xml:space="preserve"> a implementação de sistemas de Gestão de Riscos no Superior Tribunal de Justiça, no Tribunal Superior do Trabalho, no Conselho da Justiça Federal, na Secretária-geral de Administração da Advocacia-Geral da União e no Ministério Público da União;</w:t>
      </w:r>
    </w:p>
    <w:p w14:paraId="04670A07" w14:textId="77777777" w:rsidR="003546F5" w:rsidRPr="00E17FE3" w:rsidRDefault="003546F5" w:rsidP="000258EA">
      <w:pPr>
        <w:spacing w:before="120" w:after="0" w:line="240" w:lineRule="auto"/>
        <w:ind w:firstLine="1134"/>
        <w:jc w:val="both"/>
        <w:rPr>
          <w:rFonts w:ascii="Arial" w:hAnsi="Arial" w:cs="Arial"/>
          <w:sz w:val="24"/>
          <w:szCs w:val="24"/>
        </w:rPr>
      </w:pPr>
      <w:r w:rsidRPr="00E17FE3">
        <w:rPr>
          <w:rFonts w:ascii="Arial" w:hAnsi="Arial" w:cs="Arial"/>
          <w:b/>
          <w:sz w:val="24"/>
          <w:szCs w:val="24"/>
        </w:rPr>
        <w:t>CONSIDERANDO</w:t>
      </w:r>
      <w:r w:rsidRPr="00E17FE3">
        <w:rPr>
          <w:rFonts w:ascii="Arial" w:hAnsi="Arial" w:cs="Arial"/>
          <w:sz w:val="24"/>
          <w:szCs w:val="24"/>
        </w:rPr>
        <w:t xml:space="preserve"> a Instrução Normativa Conjunta MP/CGU nº 01/2016, a qual dispõe sobre controles internos, gestão de riscos e governança no âmbito do Poder Executivo Federal;</w:t>
      </w:r>
    </w:p>
    <w:p w14:paraId="7FF8507B" w14:textId="77777777" w:rsidR="003546F5" w:rsidRPr="00E17FE3" w:rsidRDefault="003546F5" w:rsidP="000258EA">
      <w:pPr>
        <w:spacing w:before="120" w:after="0" w:line="240" w:lineRule="auto"/>
        <w:ind w:firstLine="1134"/>
        <w:jc w:val="both"/>
        <w:rPr>
          <w:rFonts w:ascii="Arial" w:hAnsi="Arial" w:cs="Arial"/>
          <w:sz w:val="24"/>
          <w:szCs w:val="24"/>
        </w:rPr>
      </w:pPr>
      <w:r w:rsidRPr="00E17FE3">
        <w:rPr>
          <w:rFonts w:ascii="Arial" w:hAnsi="Arial" w:cs="Arial"/>
          <w:b/>
          <w:sz w:val="24"/>
          <w:szCs w:val="24"/>
        </w:rPr>
        <w:t>CONSIDERANDO</w:t>
      </w:r>
      <w:r w:rsidRPr="00E17FE3">
        <w:rPr>
          <w:rFonts w:ascii="Arial" w:hAnsi="Arial" w:cs="Arial"/>
          <w:sz w:val="24"/>
          <w:szCs w:val="24"/>
        </w:rPr>
        <w:t xml:space="preserve"> o Decreto Federal nº 9.203/2017, o qual dispõe sobre a política de governança da Administração Pública Federal direta, autárquica e fundacional;</w:t>
      </w:r>
    </w:p>
    <w:p w14:paraId="743489BF" w14:textId="77777777" w:rsidR="003546F5" w:rsidRPr="00E17FE3" w:rsidRDefault="003546F5" w:rsidP="000258EA">
      <w:pPr>
        <w:spacing w:before="120" w:after="0" w:line="240" w:lineRule="auto"/>
        <w:ind w:firstLine="1134"/>
        <w:jc w:val="both"/>
        <w:rPr>
          <w:rFonts w:ascii="Arial" w:hAnsi="Arial" w:cs="Arial"/>
          <w:sz w:val="24"/>
          <w:szCs w:val="24"/>
        </w:rPr>
      </w:pPr>
      <w:r w:rsidRPr="00E17FE3">
        <w:rPr>
          <w:rFonts w:ascii="Arial" w:hAnsi="Arial" w:cs="Arial"/>
          <w:b/>
          <w:sz w:val="24"/>
          <w:szCs w:val="24"/>
        </w:rPr>
        <w:lastRenderedPageBreak/>
        <w:t>CONSIDERANDO</w:t>
      </w:r>
      <w:r w:rsidRPr="00E17FE3">
        <w:rPr>
          <w:rFonts w:ascii="Arial" w:hAnsi="Arial" w:cs="Arial"/>
          <w:sz w:val="24"/>
          <w:szCs w:val="24"/>
        </w:rPr>
        <w:t xml:space="preserve"> o capítulo de Gerenciamento dos Riscos do </w:t>
      </w:r>
      <w:r w:rsidRPr="00E17FE3">
        <w:rPr>
          <w:rFonts w:ascii="Arial" w:hAnsi="Arial" w:cs="Arial"/>
          <w:i/>
          <w:sz w:val="24"/>
          <w:szCs w:val="24"/>
        </w:rPr>
        <w:t xml:space="preserve">Project Management Body </w:t>
      </w:r>
      <w:proofErr w:type="spellStart"/>
      <w:r w:rsidRPr="00E17FE3">
        <w:rPr>
          <w:rFonts w:ascii="Arial" w:hAnsi="Arial" w:cs="Arial"/>
          <w:i/>
          <w:sz w:val="24"/>
          <w:szCs w:val="24"/>
        </w:rPr>
        <w:t>of</w:t>
      </w:r>
      <w:proofErr w:type="spellEnd"/>
      <w:r w:rsidRPr="00E17FE3">
        <w:rPr>
          <w:rFonts w:ascii="Arial" w:hAnsi="Arial" w:cs="Arial"/>
          <w:i/>
          <w:sz w:val="24"/>
          <w:szCs w:val="24"/>
        </w:rPr>
        <w:t xml:space="preserve"> </w:t>
      </w:r>
      <w:proofErr w:type="spellStart"/>
      <w:r w:rsidRPr="00E17FE3">
        <w:rPr>
          <w:rFonts w:ascii="Arial" w:hAnsi="Arial" w:cs="Arial"/>
          <w:i/>
          <w:sz w:val="24"/>
          <w:szCs w:val="24"/>
        </w:rPr>
        <w:t>Knowledge</w:t>
      </w:r>
      <w:proofErr w:type="spellEnd"/>
      <w:r w:rsidRPr="00E17FE3">
        <w:rPr>
          <w:rFonts w:ascii="Arial" w:hAnsi="Arial" w:cs="Arial"/>
          <w:sz w:val="24"/>
          <w:szCs w:val="24"/>
        </w:rPr>
        <w:t xml:space="preserve"> - PMBOK;</w:t>
      </w:r>
    </w:p>
    <w:p w14:paraId="1E956963" w14:textId="77777777" w:rsidR="003546F5" w:rsidRPr="00E17FE3" w:rsidRDefault="003546F5" w:rsidP="000258EA">
      <w:pPr>
        <w:spacing w:before="120" w:after="0" w:line="240" w:lineRule="auto"/>
        <w:ind w:firstLine="1134"/>
        <w:jc w:val="both"/>
        <w:rPr>
          <w:rFonts w:ascii="Arial" w:hAnsi="Arial" w:cs="Arial"/>
          <w:sz w:val="24"/>
          <w:szCs w:val="24"/>
        </w:rPr>
      </w:pPr>
      <w:r w:rsidRPr="00E17FE3">
        <w:rPr>
          <w:rFonts w:ascii="Arial" w:hAnsi="Arial" w:cs="Arial"/>
          <w:b/>
          <w:sz w:val="24"/>
          <w:szCs w:val="24"/>
        </w:rPr>
        <w:t>CONSIDERANDO</w:t>
      </w:r>
      <w:r w:rsidRPr="00E17FE3">
        <w:rPr>
          <w:rFonts w:ascii="Arial" w:hAnsi="Arial" w:cs="Arial"/>
          <w:sz w:val="24"/>
          <w:szCs w:val="24"/>
        </w:rPr>
        <w:t xml:space="preserve"> a publicação “Gerenciamento de Riscos Corporativos – Estrutura Integrada” emitido pelo </w:t>
      </w:r>
      <w:proofErr w:type="spellStart"/>
      <w:r w:rsidRPr="00E17FE3">
        <w:rPr>
          <w:rFonts w:ascii="Arial" w:hAnsi="Arial" w:cs="Arial"/>
          <w:i/>
          <w:sz w:val="24"/>
          <w:szCs w:val="24"/>
        </w:rPr>
        <w:t>Committee</w:t>
      </w:r>
      <w:proofErr w:type="spellEnd"/>
      <w:r w:rsidRPr="00E17FE3">
        <w:rPr>
          <w:rFonts w:ascii="Arial" w:hAnsi="Arial" w:cs="Arial"/>
          <w:i/>
          <w:sz w:val="24"/>
          <w:szCs w:val="24"/>
        </w:rPr>
        <w:t xml:space="preserve"> </w:t>
      </w:r>
      <w:proofErr w:type="spellStart"/>
      <w:r w:rsidRPr="00E17FE3">
        <w:rPr>
          <w:rFonts w:ascii="Arial" w:hAnsi="Arial" w:cs="Arial"/>
          <w:i/>
          <w:sz w:val="24"/>
          <w:szCs w:val="24"/>
        </w:rPr>
        <w:t>of</w:t>
      </w:r>
      <w:proofErr w:type="spellEnd"/>
      <w:r w:rsidRPr="00E17FE3">
        <w:rPr>
          <w:rFonts w:ascii="Arial" w:hAnsi="Arial" w:cs="Arial"/>
          <w:i/>
          <w:sz w:val="24"/>
          <w:szCs w:val="24"/>
        </w:rPr>
        <w:t xml:space="preserve"> </w:t>
      </w:r>
      <w:proofErr w:type="spellStart"/>
      <w:r w:rsidRPr="00E17FE3">
        <w:rPr>
          <w:rFonts w:ascii="Arial" w:hAnsi="Arial" w:cs="Arial"/>
          <w:i/>
          <w:sz w:val="24"/>
          <w:szCs w:val="24"/>
        </w:rPr>
        <w:t>Sponsoring</w:t>
      </w:r>
      <w:proofErr w:type="spellEnd"/>
      <w:r w:rsidRPr="00E17FE3">
        <w:rPr>
          <w:rFonts w:ascii="Arial" w:hAnsi="Arial" w:cs="Arial"/>
          <w:i/>
          <w:sz w:val="24"/>
          <w:szCs w:val="24"/>
        </w:rPr>
        <w:t xml:space="preserve"> </w:t>
      </w:r>
      <w:proofErr w:type="spellStart"/>
      <w:r w:rsidRPr="00E17FE3">
        <w:rPr>
          <w:rFonts w:ascii="Arial" w:hAnsi="Arial" w:cs="Arial"/>
          <w:i/>
          <w:sz w:val="24"/>
          <w:szCs w:val="24"/>
        </w:rPr>
        <w:t>Organization</w:t>
      </w:r>
      <w:proofErr w:type="spellEnd"/>
      <w:r w:rsidRPr="00E17FE3">
        <w:rPr>
          <w:rFonts w:ascii="Arial" w:hAnsi="Arial" w:cs="Arial"/>
          <w:i/>
          <w:sz w:val="24"/>
          <w:szCs w:val="24"/>
        </w:rPr>
        <w:t xml:space="preserve"> </w:t>
      </w:r>
      <w:proofErr w:type="spellStart"/>
      <w:r w:rsidRPr="00E17FE3">
        <w:rPr>
          <w:rFonts w:ascii="Arial" w:hAnsi="Arial" w:cs="Arial"/>
          <w:i/>
          <w:sz w:val="24"/>
          <w:szCs w:val="24"/>
        </w:rPr>
        <w:t>of</w:t>
      </w:r>
      <w:proofErr w:type="spellEnd"/>
      <w:r w:rsidRPr="00E17FE3">
        <w:rPr>
          <w:rFonts w:ascii="Arial" w:hAnsi="Arial" w:cs="Arial"/>
          <w:i/>
          <w:sz w:val="24"/>
          <w:szCs w:val="24"/>
        </w:rPr>
        <w:t xml:space="preserve"> </w:t>
      </w:r>
      <w:proofErr w:type="spellStart"/>
      <w:r w:rsidRPr="00E17FE3">
        <w:rPr>
          <w:rFonts w:ascii="Arial" w:hAnsi="Arial" w:cs="Arial"/>
          <w:i/>
          <w:sz w:val="24"/>
          <w:szCs w:val="24"/>
        </w:rPr>
        <w:t>the</w:t>
      </w:r>
      <w:proofErr w:type="spellEnd"/>
      <w:r w:rsidRPr="00E17FE3">
        <w:rPr>
          <w:rFonts w:ascii="Arial" w:hAnsi="Arial" w:cs="Arial"/>
          <w:i/>
          <w:sz w:val="24"/>
          <w:szCs w:val="24"/>
        </w:rPr>
        <w:t xml:space="preserve"> </w:t>
      </w:r>
      <w:proofErr w:type="spellStart"/>
      <w:r w:rsidRPr="00E17FE3">
        <w:rPr>
          <w:rFonts w:ascii="Arial" w:hAnsi="Arial" w:cs="Arial"/>
          <w:i/>
          <w:sz w:val="24"/>
          <w:szCs w:val="24"/>
        </w:rPr>
        <w:t>Treadway</w:t>
      </w:r>
      <w:proofErr w:type="spellEnd"/>
      <w:r w:rsidRPr="00E17FE3">
        <w:rPr>
          <w:rFonts w:ascii="Arial" w:hAnsi="Arial" w:cs="Arial"/>
          <w:i/>
          <w:sz w:val="24"/>
          <w:szCs w:val="24"/>
        </w:rPr>
        <w:t xml:space="preserve"> Commission</w:t>
      </w:r>
      <w:r w:rsidRPr="00E17FE3">
        <w:rPr>
          <w:rFonts w:ascii="Arial" w:hAnsi="Arial" w:cs="Arial"/>
          <w:sz w:val="24"/>
          <w:szCs w:val="24"/>
        </w:rPr>
        <w:t xml:space="preserve"> - COSO;</w:t>
      </w:r>
    </w:p>
    <w:p w14:paraId="64F8BE53" w14:textId="77777777" w:rsidR="003546F5" w:rsidRPr="00E17FE3" w:rsidRDefault="003546F5" w:rsidP="000258EA">
      <w:pPr>
        <w:spacing w:before="120" w:after="0" w:line="240" w:lineRule="auto"/>
        <w:ind w:firstLine="1134"/>
        <w:jc w:val="both"/>
        <w:rPr>
          <w:rFonts w:ascii="Arial" w:hAnsi="Arial" w:cs="Arial"/>
          <w:sz w:val="24"/>
          <w:szCs w:val="24"/>
        </w:rPr>
      </w:pPr>
      <w:r w:rsidRPr="00E17FE3">
        <w:rPr>
          <w:rFonts w:ascii="Arial" w:hAnsi="Arial" w:cs="Arial"/>
          <w:b/>
          <w:sz w:val="24"/>
          <w:szCs w:val="24"/>
        </w:rPr>
        <w:t>CONSIDERANDO</w:t>
      </w:r>
      <w:r w:rsidRPr="00E17FE3">
        <w:rPr>
          <w:rFonts w:ascii="Arial" w:hAnsi="Arial" w:cs="Arial"/>
          <w:sz w:val="24"/>
          <w:szCs w:val="24"/>
        </w:rPr>
        <w:t xml:space="preserve"> a norma brasileira publicada pela Associação Brasileira de Normas Técnicas – ABNT - NBR ISO 31000:2018 - Gestão de Riscos – Princípios e Diretrizes;</w:t>
      </w:r>
    </w:p>
    <w:p w14:paraId="35AA5B4E" w14:textId="77777777" w:rsidR="003546F5" w:rsidRPr="00E17FE3" w:rsidRDefault="003546F5" w:rsidP="000258EA">
      <w:pPr>
        <w:spacing w:before="120" w:after="0" w:line="240" w:lineRule="auto"/>
        <w:ind w:firstLine="1134"/>
        <w:jc w:val="both"/>
        <w:rPr>
          <w:rFonts w:ascii="Arial" w:hAnsi="Arial" w:cs="Arial"/>
          <w:sz w:val="24"/>
          <w:szCs w:val="24"/>
        </w:rPr>
      </w:pPr>
      <w:r w:rsidRPr="00E17FE3">
        <w:rPr>
          <w:rFonts w:ascii="Arial" w:hAnsi="Arial" w:cs="Arial"/>
          <w:b/>
          <w:sz w:val="24"/>
          <w:szCs w:val="24"/>
        </w:rPr>
        <w:t xml:space="preserve">CONSIDERANDO </w:t>
      </w:r>
      <w:r w:rsidRPr="00E17FE3">
        <w:rPr>
          <w:rFonts w:ascii="Arial" w:hAnsi="Arial" w:cs="Arial"/>
          <w:sz w:val="24"/>
          <w:szCs w:val="24"/>
        </w:rPr>
        <w:t>que um eficiente sistema de Gestão de Riscos denota a imperiosa adoção de medidas com o condão de prevenir, transferir e/ou mitigar potenciais entraves na obtenção dos objetivos da instituição; e</w:t>
      </w:r>
    </w:p>
    <w:p w14:paraId="637DA16A" w14:textId="77777777" w:rsidR="003546F5" w:rsidRPr="00E17FE3" w:rsidRDefault="003546F5" w:rsidP="000258EA">
      <w:pPr>
        <w:spacing w:before="120" w:after="0" w:line="240" w:lineRule="auto"/>
        <w:ind w:firstLine="1134"/>
        <w:jc w:val="both"/>
        <w:rPr>
          <w:rFonts w:ascii="Arial" w:hAnsi="Arial" w:cs="Arial"/>
          <w:sz w:val="24"/>
          <w:szCs w:val="24"/>
        </w:rPr>
      </w:pPr>
      <w:r w:rsidRPr="00E17FE3">
        <w:rPr>
          <w:rFonts w:ascii="Arial" w:hAnsi="Arial" w:cs="Arial"/>
          <w:b/>
          <w:sz w:val="24"/>
          <w:szCs w:val="24"/>
        </w:rPr>
        <w:t>CONSIDERANDO</w:t>
      </w:r>
      <w:r w:rsidRPr="00E17FE3">
        <w:rPr>
          <w:rFonts w:ascii="Arial" w:hAnsi="Arial" w:cs="Arial"/>
          <w:sz w:val="24"/>
          <w:szCs w:val="24"/>
        </w:rPr>
        <w:t xml:space="preserve"> a necessidade de subsidiar a tomada de decisões a fim de assegurar o cumprimento dos objetivos estratégicos do TCE-PR, agregando valor à organização por meio da melhoria permanente dos processos,</w:t>
      </w:r>
    </w:p>
    <w:p w14:paraId="65A656CB" w14:textId="77777777" w:rsidR="003546F5" w:rsidRPr="000258EA" w:rsidRDefault="003546F5" w:rsidP="003546F5">
      <w:pPr>
        <w:spacing w:before="480" w:after="120"/>
        <w:ind w:firstLine="1134"/>
        <w:rPr>
          <w:rFonts w:ascii="Arial" w:hAnsi="Arial" w:cs="Arial"/>
          <w:b/>
          <w:sz w:val="26"/>
          <w:szCs w:val="26"/>
        </w:rPr>
      </w:pPr>
      <w:r w:rsidRPr="000258EA">
        <w:rPr>
          <w:rFonts w:ascii="Arial" w:hAnsi="Arial" w:cs="Arial"/>
          <w:b/>
          <w:sz w:val="26"/>
          <w:szCs w:val="26"/>
        </w:rPr>
        <w:t>RESOLVE</w:t>
      </w:r>
      <w:r w:rsidR="00CA5349">
        <w:rPr>
          <w:rFonts w:ascii="Arial" w:hAnsi="Arial" w:cs="Arial"/>
          <w:b/>
          <w:sz w:val="26"/>
          <w:szCs w:val="26"/>
        </w:rPr>
        <w:t>:</w:t>
      </w:r>
    </w:p>
    <w:p w14:paraId="395C8A2E" w14:textId="77777777" w:rsidR="003546F5" w:rsidRPr="00E17FE3" w:rsidRDefault="003546F5" w:rsidP="003546F5">
      <w:pPr>
        <w:keepNext/>
        <w:tabs>
          <w:tab w:val="left" w:pos="3402"/>
        </w:tabs>
        <w:spacing w:before="240" w:after="240" w:line="252" w:lineRule="auto"/>
        <w:jc w:val="center"/>
        <w:outlineLvl w:val="0"/>
        <w:rPr>
          <w:rFonts w:ascii="Arial" w:eastAsia="Times New Roman" w:hAnsi="Arial" w:cs="Arial"/>
          <w:b/>
          <w:bCs/>
          <w:kern w:val="32"/>
          <w:sz w:val="24"/>
          <w:szCs w:val="24"/>
        </w:rPr>
      </w:pPr>
      <w:bookmarkStart w:id="2" w:name="_Toc10714171"/>
      <w:r w:rsidRPr="00E17FE3">
        <w:rPr>
          <w:rFonts w:ascii="Arial" w:hAnsi="Arial" w:cs="Arial"/>
          <w:b/>
          <w:bCs/>
          <w:kern w:val="32"/>
          <w:sz w:val="24"/>
          <w:szCs w:val="24"/>
        </w:rPr>
        <w:t>CAPÍTULO I</w:t>
      </w:r>
      <w:r w:rsidRPr="00E17FE3">
        <w:rPr>
          <w:rFonts w:ascii="Arial" w:hAnsi="Arial" w:cs="Arial"/>
          <w:b/>
          <w:bCs/>
          <w:kern w:val="32"/>
          <w:sz w:val="24"/>
          <w:szCs w:val="24"/>
        </w:rPr>
        <w:br/>
        <w:t>DAS DISPOSIÇÕES GERAIS, OBJETIVOS, DIRETRIZES E PRINCÍPIOS</w:t>
      </w:r>
      <w:bookmarkEnd w:id="2"/>
    </w:p>
    <w:p w14:paraId="2E2DD7C9"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b/>
          <w:sz w:val="24"/>
          <w:szCs w:val="24"/>
        </w:rPr>
        <w:t>Art. 1º</w:t>
      </w:r>
      <w:r w:rsidRPr="000258EA">
        <w:rPr>
          <w:rFonts w:ascii="Arial" w:hAnsi="Arial" w:cs="Arial"/>
          <w:sz w:val="24"/>
          <w:szCs w:val="24"/>
        </w:rPr>
        <w:t xml:space="preserve"> A política de Gestão de Riscos do Tribunal de Contas do Estado do Paraná observará o disposto nesta Resolução.</w:t>
      </w:r>
    </w:p>
    <w:p w14:paraId="2FBC0207"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b/>
          <w:sz w:val="24"/>
          <w:szCs w:val="24"/>
        </w:rPr>
        <w:t>Art. 2º</w:t>
      </w:r>
      <w:r w:rsidRPr="000258EA">
        <w:rPr>
          <w:rFonts w:ascii="Arial" w:hAnsi="Arial" w:cs="Arial"/>
          <w:sz w:val="24"/>
          <w:szCs w:val="24"/>
        </w:rPr>
        <w:t xml:space="preserve"> </w:t>
      </w:r>
      <w:bookmarkStart w:id="3" w:name="_Hlk9335325"/>
      <w:r w:rsidRPr="000258EA">
        <w:rPr>
          <w:rFonts w:ascii="Arial" w:hAnsi="Arial" w:cs="Arial"/>
          <w:sz w:val="24"/>
          <w:szCs w:val="24"/>
        </w:rPr>
        <w:t>Será objeto da Gestão de Riscos qualquer processo de trabalho, atividade, projeto, unidade, iniciativa ou ação de plano institucional, assim como os recursos que dão suporte à realização de seus objetivos.</w:t>
      </w:r>
      <w:bookmarkEnd w:id="3"/>
    </w:p>
    <w:p w14:paraId="5AA68F5F"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Parágrafo Único. O Sistema de Gestão de Riscos – SGR – deverá ser gradualmente implementado nas atividades do Tribunal, por ciclos, sendo continuamente avaliado pela Alta Administração.</w:t>
      </w:r>
    </w:p>
    <w:p w14:paraId="42D71EA1"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b/>
          <w:sz w:val="24"/>
          <w:szCs w:val="24"/>
        </w:rPr>
        <w:t>Art. 3º</w:t>
      </w:r>
      <w:r w:rsidRPr="000258EA">
        <w:rPr>
          <w:rFonts w:ascii="Arial" w:hAnsi="Arial" w:cs="Arial"/>
          <w:sz w:val="24"/>
          <w:szCs w:val="24"/>
        </w:rPr>
        <w:t xml:space="preserve"> A Gestão de Riscos no âmbito do Tribunal de Contas do Estado do Paraná tem por principais objetivos:</w:t>
      </w:r>
    </w:p>
    <w:p w14:paraId="51BEEEA3"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I - aumentar a eficiência da Corte;</w:t>
      </w:r>
    </w:p>
    <w:p w14:paraId="24D5CF7D"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II - subsidiar a tomada de decisões com vistas a prover razoável segurança no cumprimento da missão institucional;</w:t>
      </w:r>
    </w:p>
    <w:p w14:paraId="3985B3F2"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III - desenvolver um sistema inteligente que, além de reduzir a possibilidade de danos e retrabalho, facilite a rotina dos servidores e contribua para a prestação de serviços públicos de qualidade para toda a população paranaense;</w:t>
      </w:r>
    </w:p>
    <w:p w14:paraId="595513F8"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IV - aperfeiçoar continuamente os métodos e processos de trabalho;</w:t>
      </w:r>
    </w:p>
    <w:p w14:paraId="2FEBEEC1"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V - potencializar o alcance dos objetivos estratégicos;</w:t>
      </w:r>
    </w:p>
    <w:p w14:paraId="09333DE7"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VI - valorizar a instituição;</w:t>
      </w:r>
    </w:p>
    <w:p w14:paraId="0DDA8DF4"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VII - identificar vulnerabilidades e oportunidades atinentes ao desempenho do TCE/PR;</w:t>
      </w:r>
    </w:p>
    <w:p w14:paraId="1484849D"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VIII - sistematizar, integrar e padronizar tarefas, processos e atividades;</w:t>
      </w:r>
    </w:p>
    <w:p w14:paraId="3AE02CA3"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lastRenderedPageBreak/>
        <w:t>IX - proporcionar a melhoria constante do ambiente organizacional.</w:t>
      </w:r>
    </w:p>
    <w:p w14:paraId="451D4C7F"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b/>
          <w:sz w:val="24"/>
          <w:szCs w:val="24"/>
        </w:rPr>
        <w:t>Art. 4º</w:t>
      </w:r>
      <w:r w:rsidRPr="000258EA">
        <w:rPr>
          <w:rFonts w:ascii="Arial" w:hAnsi="Arial" w:cs="Arial"/>
          <w:sz w:val="24"/>
          <w:szCs w:val="24"/>
        </w:rPr>
        <w:t xml:space="preserve"> Devem ser avaliados prioritariamente riscos operacionais, legais, financeiros e de integridade relacionados às atividades do TCE/PR, observando os objetivos estratégicos, táticos e operacionais da instituição.</w:t>
      </w:r>
    </w:p>
    <w:p w14:paraId="100C7177" w14:textId="77777777" w:rsidR="003546F5" w:rsidRDefault="003546F5" w:rsidP="000258EA">
      <w:pPr>
        <w:spacing w:before="120" w:after="0" w:line="240" w:lineRule="auto"/>
        <w:ind w:firstLine="1134"/>
        <w:jc w:val="both"/>
        <w:rPr>
          <w:rFonts w:ascii="Arial" w:hAnsi="Arial" w:cs="Arial"/>
          <w:strike/>
          <w:sz w:val="24"/>
          <w:szCs w:val="24"/>
        </w:rPr>
      </w:pPr>
      <w:r w:rsidRPr="00086CAD">
        <w:rPr>
          <w:rFonts w:ascii="Arial" w:hAnsi="Arial" w:cs="Arial"/>
          <w:strike/>
          <w:sz w:val="24"/>
          <w:szCs w:val="24"/>
        </w:rPr>
        <w:t>Parágrafo único. Nas atividades de planejamento devem ser considerados, sempre que couber, riscos e oportunidades como um dos critérios para seleção e priorização de iniciativas e ações.</w:t>
      </w:r>
    </w:p>
    <w:p w14:paraId="4869A717" w14:textId="47FA92B3" w:rsidR="00086CAD" w:rsidRPr="00086CAD" w:rsidRDefault="00086CAD" w:rsidP="00086CAD">
      <w:pPr>
        <w:spacing w:before="120" w:after="0" w:line="240" w:lineRule="auto"/>
        <w:ind w:firstLine="1134"/>
        <w:jc w:val="both"/>
        <w:rPr>
          <w:rFonts w:ascii="Arial" w:hAnsi="Arial" w:cs="Arial"/>
          <w:sz w:val="24"/>
          <w:szCs w:val="24"/>
        </w:rPr>
      </w:pPr>
      <w:r w:rsidRPr="00D471A7">
        <w:rPr>
          <w:rFonts w:ascii="Arial" w:hAnsi="Arial" w:cs="Arial"/>
          <w:sz w:val="24"/>
          <w:szCs w:val="24"/>
        </w:rPr>
        <w:t>Parágrafo único. Nas atividades de planejamento do Tribunal, incluindo-se o planejamento estratégico, devem ser considerados, sempre que couber, riscos e oportunidades como critérios para seleção e priorização de objetivos, indicadores, metas e iniciativas</w:t>
      </w:r>
      <w:r>
        <w:rPr>
          <w:rFonts w:ascii="Arial" w:hAnsi="Arial" w:cs="Arial"/>
          <w:sz w:val="24"/>
          <w:szCs w:val="24"/>
        </w:rPr>
        <w:t xml:space="preserve">. </w:t>
      </w:r>
      <w:r w:rsidRPr="00D471A7">
        <w:rPr>
          <w:rFonts w:ascii="Arial" w:hAnsi="Arial" w:cs="Arial"/>
          <w:color w:val="0000FF"/>
          <w:sz w:val="24"/>
          <w:szCs w:val="24"/>
        </w:rPr>
        <w:t xml:space="preserve">(Redação dada pela </w:t>
      </w:r>
      <w:r>
        <w:fldChar w:fldCharType="begin"/>
      </w:r>
      <w:r w:rsidR="00181BF1">
        <w:instrText>HYPERLINK "https://www1.tce.pr.gov.br/conteudo/resolucao-n-84-de-26-de-fevereiro-de-2021/334179/area/249"</w:instrText>
      </w:r>
      <w:r>
        <w:fldChar w:fldCharType="separate"/>
      </w:r>
      <w:r w:rsidRPr="00C02201">
        <w:rPr>
          <w:rStyle w:val="Hyperlink"/>
          <w:rFonts w:ascii="Arial" w:hAnsi="Arial" w:cs="Arial"/>
          <w:sz w:val="24"/>
          <w:szCs w:val="24"/>
          <w:u w:val="none"/>
        </w:rPr>
        <w:t>Resolução n. 84/2021</w:t>
      </w:r>
      <w:r>
        <w:fldChar w:fldCharType="end"/>
      </w:r>
      <w:r w:rsidRPr="00C02201">
        <w:rPr>
          <w:rFonts w:ascii="Arial" w:hAnsi="Arial" w:cs="Arial"/>
          <w:color w:val="0000FF"/>
          <w:sz w:val="24"/>
          <w:szCs w:val="24"/>
        </w:rPr>
        <w:t>)</w:t>
      </w:r>
    </w:p>
    <w:p w14:paraId="183BF46D"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b/>
          <w:sz w:val="24"/>
          <w:szCs w:val="24"/>
        </w:rPr>
        <w:t>Art. 5º</w:t>
      </w:r>
      <w:r w:rsidRPr="000258EA">
        <w:rPr>
          <w:rFonts w:ascii="Arial" w:hAnsi="Arial" w:cs="Arial"/>
          <w:sz w:val="24"/>
          <w:szCs w:val="24"/>
        </w:rPr>
        <w:t xml:space="preserve"> O Sistema de Gestão de Riscos demandará:</w:t>
      </w:r>
    </w:p>
    <w:p w14:paraId="4F1CAF9F"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I - o emprego de metodologias e boas práticas nacional e internacionalmente reconhecidas que melhor se ajustem ao funcionamento do TCE/PR;</w:t>
      </w:r>
    </w:p>
    <w:p w14:paraId="1A8A3F2E"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II - a aderência a exigências legais e regulatórias;</w:t>
      </w:r>
    </w:p>
    <w:p w14:paraId="44A68813"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III - o estabelecimento de níveis de risco adequados;</w:t>
      </w:r>
    </w:p>
    <w:p w14:paraId="43BF1BDE"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IV - qualificação e tempestividade das informações disponíveis;</w:t>
      </w:r>
    </w:p>
    <w:p w14:paraId="159CDAC2"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V - capacitação de membros, servidores e demais interessados.</w:t>
      </w:r>
    </w:p>
    <w:p w14:paraId="3D81066A"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b/>
          <w:sz w:val="24"/>
          <w:szCs w:val="24"/>
        </w:rPr>
        <w:t>Art. 6º</w:t>
      </w:r>
      <w:r w:rsidRPr="000258EA">
        <w:rPr>
          <w:rFonts w:ascii="Arial" w:hAnsi="Arial" w:cs="Arial"/>
          <w:sz w:val="24"/>
          <w:szCs w:val="24"/>
        </w:rPr>
        <w:t xml:space="preserve"> Constituem princípios da Gestão de Riscos no TCE/PR:</w:t>
      </w:r>
    </w:p>
    <w:p w14:paraId="19DFE45B"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 xml:space="preserve">I - </w:t>
      </w:r>
      <w:proofErr w:type="spellStart"/>
      <w:r w:rsidRPr="000258EA">
        <w:rPr>
          <w:rFonts w:ascii="Arial" w:hAnsi="Arial" w:cs="Arial"/>
          <w:sz w:val="24"/>
          <w:szCs w:val="24"/>
        </w:rPr>
        <w:t>a</w:t>
      </w:r>
      <w:r w:rsidRPr="000258EA">
        <w:rPr>
          <w:rFonts w:ascii="Arial" w:hAnsi="Arial" w:cs="Arial"/>
          <w:i/>
          <w:sz w:val="24"/>
          <w:szCs w:val="24"/>
        </w:rPr>
        <w:t>ccountability</w:t>
      </w:r>
      <w:proofErr w:type="spellEnd"/>
      <w:r w:rsidRPr="000258EA">
        <w:rPr>
          <w:rFonts w:ascii="Arial" w:hAnsi="Arial" w:cs="Arial"/>
          <w:i/>
          <w:sz w:val="24"/>
          <w:szCs w:val="24"/>
        </w:rPr>
        <w:t>;</w:t>
      </w:r>
    </w:p>
    <w:p w14:paraId="3D48345A"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II - dinamismo;</w:t>
      </w:r>
    </w:p>
    <w:p w14:paraId="160D2A81"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III - economicidade;</w:t>
      </w:r>
    </w:p>
    <w:p w14:paraId="1224471F"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IV - eficiência;</w:t>
      </w:r>
    </w:p>
    <w:p w14:paraId="14C922D7"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V - incerteza;</w:t>
      </w:r>
    </w:p>
    <w:p w14:paraId="034A5CE3"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VI - legalidade;</w:t>
      </w:r>
    </w:p>
    <w:p w14:paraId="56DA2E94"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VII - moralidade;</w:t>
      </w:r>
    </w:p>
    <w:p w14:paraId="0B39D3DD"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VIII - proatividade;</w:t>
      </w:r>
    </w:p>
    <w:p w14:paraId="44818593"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IX - qualidade;</w:t>
      </w:r>
    </w:p>
    <w:p w14:paraId="37EE2C66"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X - tempestividade;</w:t>
      </w:r>
    </w:p>
    <w:p w14:paraId="472A1048" w14:textId="77777777" w:rsidR="003546F5" w:rsidRDefault="003546F5" w:rsidP="000258EA">
      <w:pPr>
        <w:spacing w:before="120" w:after="0" w:line="240" w:lineRule="auto"/>
        <w:ind w:firstLine="1134"/>
        <w:jc w:val="both"/>
        <w:rPr>
          <w:rFonts w:ascii="Arial" w:hAnsi="Arial" w:cs="Arial"/>
          <w:szCs w:val="24"/>
        </w:rPr>
      </w:pPr>
      <w:r w:rsidRPr="000258EA">
        <w:rPr>
          <w:rFonts w:ascii="Arial" w:hAnsi="Arial" w:cs="Arial"/>
          <w:sz w:val="24"/>
          <w:szCs w:val="24"/>
        </w:rPr>
        <w:t>XI - transparência.</w:t>
      </w:r>
    </w:p>
    <w:p w14:paraId="33BF8215" w14:textId="77777777" w:rsidR="003546F5" w:rsidRPr="00E17FE3" w:rsidRDefault="003546F5" w:rsidP="003546F5">
      <w:pPr>
        <w:keepNext/>
        <w:spacing w:before="240" w:after="120" w:line="252" w:lineRule="auto"/>
        <w:jc w:val="center"/>
        <w:outlineLvl w:val="0"/>
        <w:rPr>
          <w:rFonts w:ascii="Arial" w:eastAsia="Times New Roman" w:hAnsi="Arial" w:cs="Arial"/>
          <w:b/>
          <w:bCs/>
          <w:kern w:val="32"/>
          <w:sz w:val="24"/>
          <w:szCs w:val="24"/>
        </w:rPr>
      </w:pPr>
      <w:bookmarkStart w:id="4" w:name="_Toc10714172"/>
      <w:r w:rsidRPr="00E17FE3">
        <w:rPr>
          <w:rFonts w:ascii="Arial" w:hAnsi="Arial" w:cs="Arial"/>
          <w:b/>
          <w:bCs/>
          <w:kern w:val="32"/>
          <w:sz w:val="24"/>
          <w:szCs w:val="24"/>
        </w:rPr>
        <w:t>CAPÍTULO II</w:t>
      </w:r>
      <w:r w:rsidRPr="00E17FE3">
        <w:rPr>
          <w:rFonts w:ascii="Arial" w:hAnsi="Arial" w:cs="Arial"/>
          <w:b/>
          <w:bCs/>
          <w:kern w:val="32"/>
          <w:sz w:val="24"/>
          <w:szCs w:val="24"/>
        </w:rPr>
        <w:br/>
        <w:t>DOS CONCEITOS</w:t>
      </w:r>
      <w:bookmarkEnd w:id="4"/>
    </w:p>
    <w:p w14:paraId="54EE36FF"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b/>
          <w:sz w:val="24"/>
          <w:szCs w:val="24"/>
        </w:rPr>
        <w:t>Art. 7º</w:t>
      </w:r>
      <w:r w:rsidRPr="000258EA">
        <w:rPr>
          <w:rFonts w:ascii="Arial" w:hAnsi="Arial" w:cs="Arial"/>
          <w:sz w:val="24"/>
          <w:szCs w:val="24"/>
        </w:rPr>
        <w:t xml:space="preserve"> Para os efeitos desta Resolução, entende-se por:</w:t>
      </w:r>
    </w:p>
    <w:p w14:paraId="51C0A688" w14:textId="77777777" w:rsidR="003546F5" w:rsidRPr="00872C23" w:rsidRDefault="003546F5" w:rsidP="000258EA">
      <w:pPr>
        <w:spacing w:before="120" w:after="0" w:line="240" w:lineRule="auto"/>
        <w:ind w:firstLine="1134"/>
        <w:jc w:val="both"/>
        <w:rPr>
          <w:rFonts w:ascii="Arial" w:hAnsi="Arial" w:cs="Arial"/>
          <w:strike/>
          <w:sz w:val="24"/>
          <w:szCs w:val="24"/>
        </w:rPr>
      </w:pPr>
      <w:r w:rsidRPr="00872C23">
        <w:rPr>
          <w:rFonts w:ascii="Arial" w:hAnsi="Arial" w:cs="Arial"/>
          <w:strike/>
          <w:sz w:val="24"/>
          <w:szCs w:val="24"/>
        </w:rPr>
        <w:t>I - “</w:t>
      </w:r>
      <w:proofErr w:type="spellStart"/>
      <w:r w:rsidRPr="00872C23">
        <w:rPr>
          <w:rFonts w:ascii="Arial" w:hAnsi="Arial" w:cs="Arial"/>
          <w:i/>
          <w:strike/>
          <w:sz w:val="24"/>
          <w:szCs w:val="24"/>
        </w:rPr>
        <w:t>Accountability</w:t>
      </w:r>
      <w:proofErr w:type="spellEnd"/>
      <w:r w:rsidRPr="00872C23">
        <w:rPr>
          <w:rFonts w:ascii="Arial" w:hAnsi="Arial" w:cs="Arial"/>
          <w:strike/>
          <w:sz w:val="24"/>
          <w:szCs w:val="24"/>
        </w:rPr>
        <w:t>”: conjunto de procedimentos adotados por organizações e pelos indivíduos que as integram, os quais evidenciam sua obrigação de prestar contas acerca dos resultados alcançados, das ações implementadas e da salvaguarda de recursos;</w:t>
      </w:r>
    </w:p>
    <w:p w14:paraId="6A5ECAE9" w14:textId="59E7A95E" w:rsidR="00872C23" w:rsidRDefault="00872C23" w:rsidP="000258EA">
      <w:pPr>
        <w:spacing w:before="120" w:after="0" w:line="240" w:lineRule="auto"/>
        <w:ind w:firstLine="1134"/>
        <w:jc w:val="both"/>
        <w:rPr>
          <w:rFonts w:ascii="Arial" w:hAnsi="Arial" w:cs="Arial"/>
          <w:sz w:val="24"/>
          <w:szCs w:val="24"/>
        </w:rPr>
      </w:pPr>
      <w:r w:rsidRPr="00872C23">
        <w:rPr>
          <w:rFonts w:ascii="Arial" w:hAnsi="Arial" w:cs="Arial"/>
          <w:sz w:val="24"/>
          <w:szCs w:val="24"/>
        </w:rPr>
        <w:lastRenderedPageBreak/>
        <w:t>I - “</w:t>
      </w:r>
      <w:proofErr w:type="spellStart"/>
      <w:r w:rsidRPr="00872C23">
        <w:rPr>
          <w:rFonts w:ascii="Arial" w:hAnsi="Arial" w:cs="Arial"/>
          <w:sz w:val="24"/>
          <w:szCs w:val="24"/>
        </w:rPr>
        <w:t>Accountability</w:t>
      </w:r>
      <w:proofErr w:type="spellEnd"/>
      <w:r w:rsidRPr="00872C23">
        <w:rPr>
          <w:rFonts w:ascii="Arial" w:hAnsi="Arial" w:cs="Arial"/>
          <w:sz w:val="24"/>
          <w:szCs w:val="24"/>
        </w:rPr>
        <w:t>”: conjunto de práticas pelas quais os gestores assumem responsabilidades e delas prestam contas espontaneamente;</w:t>
      </w:r>
      <w:r>
        <w:rPr>
          <w:rFonts w:ascii="Arial" w:hAnsi="Arial" w:cs="Arial"/>
          <w:sz w:val="24"/>
          <w:szCs w:val="24"/>
        </w:rPr>
        <w:t xml:space="preserve"> </w:t>
      </w:r>
      <w:hyperlink r:id="rId7" w:history="1">
        <w:r w:rsidRPr="00872C23">
          <w:rPr>
            <w:rStyle w:val="Hyperlink"/>
            <w:rFonts w:ascii="Arial" w:hAnsi="Arial" w:cs="Arial"/>
            <w:sz w:val="24"/>
            <w:szCs w:val="24"/>
          </w:rPr>
          <w:t>(Redação dada pela Resolução n.º 139/2026)</w:t>
        </w:r>
      </w:hyperlink>
    </w:p>
    <w:p w14:paraId="66C19DB3" w14:textId="47BE4B62"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II - “Agregar valor”: ampliar a qualidade dos serviços no que se refere às suas características essenciais mais relevantes para a sociedade;</w:t>
      </w:r>
    </w:p>
    <w:p w14:paraId="2CCBC441"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III - “Causa de risco”: razão que pode promover a ocorrência do risco;</w:t>
      </w:r>
    </w:p>
    <w:p w14:paraId="2034BE7E"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IV - “Consequência”: efeitos da ocorrência de um evento de risco sobre objetos distintos do objetivo e/ou resultado em análise;</w:t>
      </w:r>
    </w:p>
    <w:p w14:paraId="227CA930"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V - “Controles internos da gestão”: conjunto de regras, procedimentos, diretrizes e protocolos praticados de maneira integrada pelos gestores e servidores, destinados a enfrentar riscos e propiciar segurança operacional, visando o alcance da missão institucional;</w:t>
      </w:r>
    </w:p>
    <w:p w14:paraId="23735FDF"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VI - “Evento”: episódio proveniente de fontes internas ou externas com potencial para causar impacto negativo, positivo ou ambos, sobre os resultados e/ou objetivos;</w:t>
      </w:r>
    </w:p>
    <w:p w14:paraId="1C31A1CA"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VII - “Fonte de risco": elemento que, individualmente ou combinado, tem potencial para dar origem a um risco específico, podendo ou não estar sob controle do TCE/PR;</w:t>
      </w:r>
    </w:p>
    <w:p w14:paraId="37188991"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VIII - “Gestor de risco”: responsável por qualquer processo de trabalho, atividade, projeto, unidade, iniciativa ou ação de plano institucional do TCE/PR;</w:t>
      </w:r>
    </w:p>
    <w:p w14:paraId="43624895" w14:textId="77777777" w:rsidR="003546F5" w:rsidRPr="00872C23" w:rsidRDefault="003546F5" w:rsidP="000258EA">
      <w:pPr>
        <w:spacing w:before="120" w:after="0" w:line="240" w:lineRule="auto"/>
        <w:ind w:firstLine="1134"/>
        <w:jc w:val="both"/>
        <w:rPr>
          <w:rFonts w:ascii="Arial" w:hAnsi="Arial" w:cs="Arial"/>
          <w:strike/>
          <w:sz w:val="24"/>
          <w:szCs w:val="24"/>
        </w:rPr>
      </w:pPr>
      <w:r w:rsidRPr="00872C23">
        <w:rPr>
          <w:rFonts w:ascii="Arial" w:hAnsi="Arial" w:cs="Arial"/>
          <w:strike/>
          <w:sz w:val="24"/>
          <w:szCs w:val="24"/>
        </w:rPr>
        <w:t>IX - “Governança no Setor Público”: capacidade de formular e implantar políticas públicas efetivas, viabilizada por meio de estruturas e processos, utilizando ferramentas gerenciais, estratégia e controle, postas em prática para avaliar, direcionar e monitorar a gestão com vistas à prestação de serviços de interesse da sociedade;</w:t>
      </w:r>
    </w:p>
    <w:p w14:paraId="1C8FC963" w14:textId="6D11CD80" w:rsidR="00872C23" w:rsidRDefault="00872C23" w:rsidP="000258EA">
      <w:pPr>
        <w:adjustRightInd w:val="0"/>
        <w:spacing w:before="120" w:after="0" w:line="240" w:lineRule="auto"/>
        <w:ind w:firstLine="1134"/>
        <w:jc w:val="both"/>
        <w:rPr>
          <w:rFonts w:ascii="Arial" w:hAnsi="Arial" w:cs="Arial"/>
          <w:sz w:val="24"/>
          <w:szCs w:val="24"/>
        </w:rPr>
      </w:pPr>
      <w:r w:rsidRPr="00872C23">
        <w:rPr>
          <w:rFonts w:ascii="Arial" w:hAnsi="Arial" w:cs="Arial"/>
          <w:sz w:val="24"/>
          <w:szCs w:val="24"/>
        </w:rPr>
        <w:t>IX - “Governança”: conjunto de mecanismos de liderança, estratégia e controle (</w:t>
      </w:r>
      <w:proofErr w:type="spellStart"/>
      <w:r w:rsidRPr="00872C23">
        <w:rPr>
          <w:rFonts w:ascii="Arial" w:hAnsi="Arial" w:cs="Arial"/>
          <w:sz w:val="24"/>
          <w:szCs w:val="24"/>
        </w:rPr>
        <w:t>accountability</w:t>
      </w:r>
      <w:proofErr w:type="spellEnd"/>
      <w:r w:rsidRPr="00872C23">
        <w:rPr>
          <w:rFonts w:ascii="Arial" w:hAnsi="Arial" w:cs="Arial"/>
          <w:sz w:val="24"/>
          <w:szCs w:val="24"/>
        </w:rPr>
        <w:t>) postos em prática para avaliar, direcionar e monitorar a atuação da gestão, com vistas à condução do Tribunal na prestação de serviços de interesse da sociedade e no exercício do controle externo;</w:t>
      </w:r>
      <w:r>
        <w:rPr>
          <w:rFonts w:ascii="Arial" w:hAnsi="Arial" w:cs="Arial"/>
          <w:sz w:val="24"/>
          <w:szCs w:val="24"/>
        </w:rPr>
        <w:t xml:space="preserve"> </w:t>
      </w:r>
      <w:hyperlink r:id="rId8" w:history="1">
        <w:r w:rsidRPr="00872C23">
          <w:rPr>
            <w:rStyle w:val="Hyperlink"/>
            <w:rFonts w:ascii="Arial" w:hAnsi="Arial" w:cs="Arial"/>
            <w:sz w:val="24"/>
            <w:szCs w:val="24"/>
          </w:rPr>
          <w:t>(Redação dada pela Resolução n.º 139/2026)</w:t>
        </w:r>
      </w:hyperlink>
    </w:p>
    <w:p w14:paraId="2C874BDB" w14:textId="6C0BD24D" w:rsidR="003546F5" w:rsidRPr="000258EA" w:rsidRDefault="003546F5" w:rsidP="000258EA">
      <w:pPr>
        <w:adjustRightInd w:val="0"/>
        <w:spacing w:before="120" w:after="0" w:line="240" w:lineRule="auto"/>
        <w:ind w:firstLine="1134"/>
        <w:jc w:val="both"/>
        <w:rPr>
          <w:rFonts w:ascii="Arial" w:hAnsi="Arial" w:cs="Arial"/>
          <w:sz w:val="24"/>
          <w:szCs w:val="24"/>
          <w:lang w:eastAsia="pt-BR"/>
        </w:rPr>
      </w:pPr>
      <w:r w:rsidRPr="000258EA">
        <w:rPr>
          <w:rFonts w:ascii="Arial" w:hAnsi="Arial" w:cs="Arial"/>
          <w:sz w:val="24"/>
          <w:szCs w:val="24"/>
        </w:rPr>
        <w:t>X - “Impacto”: efeito resultante da ocorrência do evento de risco sobre os resultados e/ou objetivos analisados;</w:t>
      </w:r>
    </w:p>
    <w:p w14:paraId="5D75CE39"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XI - “Incerteza”: é o estado, mesmo que parcial, da deficiência das informações relacionadas a um evento, sua compreensão, seu conhecimento, sua consequência ou sua probabilidade de ocorrência no atingimento de objetivos e/ou resultados;</w:t>
      </w:r>
    </w:p>
    <w:p w14:paraId="0B754D5B" w14:textId="77777777" w:rsidR="003546F5" w:rsidRPr="00872C23" w:rsidRDefault="003546F5" w:rsidP="000258EA">
      <w:pPr>
        <w:spacing w:before="120" w:after="0" w:line="240" w:lineRule="auto"/>
        <w:ind w:firstLine="1134"/>
        <w:jc w:val="both"/>
        <w:rPr>
          <w:rFonts w:ascii="Arial" w:hAnsi="Arial" w:cs="Arial"/>
          <w:strike/>
          <w:sz w:val="24"/>
          <w:szCs w:val="24"/>
        </w:rPr>
      </w:pPr>
      <w:r w:rsidRPr="00872C23">
        <w:rPr>
          <w:rFonts w:ascii="Arial" w:hAnsi="Arial" w:cs="Arial"/>
          <w:strike/>
          <w:sz w:val="24"/>
          <w:szCs w:val="24"/>
        </w:rPr>
        <w:t>XII - “Mapa de riscos”: representação formal na qual são registrados os riscos identificados, considerando as probabilidades e os impactos, de forma a permitir a definição das ações necessárias ao seu gerenciamento;</w:t>
      </w:r>
    </w:p>
    <w:p w14:paraId="7B3F00A6" w14:textId="196091CA" w:rsidR="00872C23" w:rsidRDefault="00872C23" w:rsidP="00872C23">
      <w:pPr>
        <w:spacing w:before="120" w:after="0" w:line="240" w:lineRule="auto"/>
        <w:ind w:firstLine="1134"/>
        <w:jc w:val="both"/>
        <w:rPr>
          <w:rFonts w:ascii="Arial" w:hAnsi="Arial" w:cs="Arial"/>
          <w:sz w:val="24"/>
          <w:szCs w:val="24"/>
        </w:rPr>
      </w:pPr>
      <w:r w:rsidRPr="000258EA">
        <w:rPr>
          <w:rFonts w:ascii="Arial" w:hAnsi="Arial" w:cs="Arial"/>
          <w:sz w:val="24"/>
          <w:szCs w:val="24"/>
        </w:rPr>
        <w:t>XII - “Mapa de riscos”: representação formal na qual são registrados os riscos identificados, considerando as probabilidades e os impactos, de forma a permitir a definição das ações necessárias ao seu gerenciamento;</w:t>
      </w:r>
      <w:r>
        <w:rPr>
          <w:rFonts w:ascii="Arial" w:hAnsi="Arial" w:cs="Arial"/>
          <w:sz w:val="24"/>
          <w:szCs w:val="24"/>
        </w:rPr>
        <w:t xml:space="preserve"> </w:t>
      </w:r>
      <w:hyperlink r:id="rId9" w:history="1">
        <w:r w:rsidRPr="00872C23">
          <w:rPr>
            <w:rStyle w:val="Hyperlink"/>
            <w:rFonts w:ascii="Arial" w:hAnsi="Arial" w:cs="Arial"/>
            <w:sz w:val="24"/>
            <w:szCs w:val="24"/>
          </w:rPr>
          <w:t>(Redação dada pela Resolução n.º 139/2026)</w:t>
        </w:r>
      </w:hyperlink>
    </w:p>
    <w:p w14:paraId="5CFB833C" w14:textId="3585E8DC" w:rsidR="00AF79F7" w:rsidRPr="000258EA" w:rsidRDefault="00AF79F7" w:rsidP="00872C23">
      <w:pPr>
        <w:spacing w:before="120" w:after="0" w:line="240" w:lineRule="auto"/>
        <w:ind w:firstLine="1134"/>
        <w:jc w:val="both"/>
        <w:rPr>
          <w:rFonts w:ascii="Arial" w:hAnsi="Arial" w:cs="Arial"/>
          <w:sz w:val="24"/>
          <w:szCs w:val="24"/>
        </w:rPr>
      </w:pPr>
      <w:r w:rsidRPr="00AF79F7">
        <w:rPr>
          <w:rFonts w:ascii="Arial" w:hAnsi="Arial" w:cs="Arial"/>
          <w:sz w:val="24"/>
          <w:szCs w:val="24"/>
        </w:rPr>
        <w:lastRenderedPageBreak/>
        <w:t>XII-A - “Modelo das três linhas”: estrutura de organização das responsabilidades no sistema de gestão de riscos que, por meio de linhas de reporte e comunicação, distribui as funções de gestão e controle em três níveis distintos;</w:t>
      </w:r>
      <w:r>
        <w:rPr>
          <w:rFonts w:ascii="Arial" w:hAnsi="Arial" w:cs="Arial"/>
          <w:sz w:val="24"/>
          <w:szCs w:val="24"/>
        </w:rPr>
        <w:t xml:space="preserve"> </w:t>
      </w:r>
      <w:hyperlink r:id="rId10" w:history="1">
        <w:r>
          <w:rPr>
            <w:rStyle w:val="Hyperlink"/>
            <w:rFonts w:ascii="Arial" w:hAnsi="Arial" w:cs="Arial"/>
            <w:sz w:val="24"/>
            <w:szCs w:val="24"/>
          </w:rPr>
          <w:t>(Incluído pela Resolução n.º 139/2026)</w:t>
        </w:r>
      </w:hyperlink>
    </w:p>
    <w:p w14:paraId="2E255E12"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XIII - “Nível de risco”: expressão combinada do impacto do risco e sua possibilidade de ocorrência;</w:t>
      </w:r>
    </w:p>
    <w:p w14:paraId="6A96B35A"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XIV - “Objetivos”: finalidade para qual o negócio, processo ou projeto fora criado, sendo uma declaração do que se pretende alcançar;</w:t>
      </w:r>
    </w:p>
    <w:p w14:paraId="326B633B"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XV - “Oportunidade”: possibilidade de que um evento afete positivamente o alcance de objetivos;</w:t>
      </w:r>
    </w:p>
    <w:p w14:paraId="5CCA989C"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XVI - “Parâmetros de medição de riscos”: informações quantitativas ou qualitativas, obtidas direta ou indiretamente, que permitam avaliar as dimensões dos riscos identificados a partir da probabilidade de sua ocorrência e das consequências possíveis;</w:t>
      </w:r>
    </w:p>
    <w:p w14:paraId="634D9221" w14:textId="77777777" w:rsidR="003546F5"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XVII - “Parte interessada”: pessoa ou organização que pode afetar, ser afetada, ou perceber-se afetada por uma decisão ou atividade;</w:t>
      </w:r>
    </w:p>
    <w:p w14:paraId="430F1633" w14:textId="7B6CCCA9" w:rsidR="00AF79F7" w:rsidRPr="000258EA" w:rsidRDefault="00AF79F7" w:rsidP="000258EA">
      <w:pPr>
        <w:spacing w:before="120" w:after="0" w:line="240" w:lineRule="auto"/>
        <w:ind w:firstLine="1134"/>
        <w:jc w:val="both"/>
        <w:rPr>
          <w:rFonts w:ascii="Arial" w:hAnsi="Arial" w:cs="Arial"/>
          <w:sz w:val="24"/>
          <w:szCs w:val="24"/>
        </w:rPr>
      </w:pPr>
      <w:r w:rsidRPr="00AF79F7">
        <w:rPr>
          <w:rFonts w:ascii="Arial" w:hAnsi="Arial" w:cs="Arial"/>
          <w:sz w:val="24"/>
          <w:szCs w:val="24"/>
        </w:rPr>
        <w:t>XVII-A - “Planos institucionais”: os planos de nível estratégico, tático e operacional que compõem o sistema de planejamento e gestão da estratégia do Tribunal, conforme previsto em ato normativo próprio;</w:t>
      </w:r>
      <w:r>
        <w:rPr>
          <w:rFonts w:ascii="Arial" w:hAnsi="Arial" w:cs="Arial"/>
          <w:sz w:val="24"/>
          <w:szCs w:val="24"/>
        </w:rPr>
        <w:t xml:space="preserve"> </w:t>
      </w:r>
      <w:hyperlink r:id="rId11" w:history="1">
        <w:r>
          <w:rPr>
            <w:rStyle w:val="Hyperlink"/>
            <w:rFonts w:ascii="Arial" w:hAnsi="Arial" w:cs="Arial"/>
            <w:sz w:val="24"/>
            <w:szCs w:val="24"/>
          </w:rPr>
          <w:t>(Incluído pela Resolução n.º 139/2026)</w:t>
        </w:r>
      </w:hyperlink>
    </w:p>
    <w:p w14:paraId="31EBE6B0"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XVIII - “Probabilidade”: chance de o evento acontecer, estabelecida a partir de uma escala predefinida de perspectivas;</w:t>
      </w:r>
    </w:p>
    <w:p w14:paraId="41FDBA97"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XIX - “Processo de Gerenciamento de riscos”: processo operacional que consiste no desenvolvimento de um conjunto de ações destinadas a identificar, analisar, avaliar, tratar e monitorar eventos de riscos, comunicando em todas as etapas as partes interessadas;</w:t>
      </w:r>
    </w:p>
    <w:p w14:paraId="3DEC05BA"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XX - “Processo de Gestão de Riscos”: conjunto de atividades de âmbito tático ou estratégico destinadas a estabelecer e revisar periodicamente o sistema de gestão de riscos, a fim de fazer eventuais adequações;</w:t>
      </w:r>
    </w:p>
    <w:p w14:paraId="22A4865E"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XXI - “Resposta a risco”: qualquer ação adotada para lidar com risco, podendo consistir em:</w:t>
      </w:r>
    </w:p>
    <w:p w14:paraId="1CC376CD"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i/>
          <w:sz w:val="24"/>
          <w:szCs w:val="24"/>
        </w:rPr>
        <w:t>a)</w:t>
      </w:r>
      <w:r w:rsidRPr="000258EA">
        <w:rPr>
          <w:rFonts w:ascii="Arial" w:hAnsi="Arial" w:cs="Arial"/>
          <w:sz w:val="24"/>
          <w:szCs w:val="24"/>
        </w:rPr>
        <w:t xml:space="preserve"> aceitar o risco por uma escolha consciente;</w:t>
      </w:r>
    </w:p>
    <w:p w14:paraId="11B16839"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i/>
          <w:sz w:val="24"/>
          <w:szCs w:val="24"/>
        </w:rPr>
        <w:t>b)</w:t>
      </w:r>
      <w:r w:rsidRPr="000258EA">
        <w:rPr>
          <w:rFonts w:ascii="Arial" w:hAnsi="Arial" w:cs="Arial"/>
          <w:sz w:val="24"/>
          <w:szCs w:val="24"/>
        </w:rPr>
        <w:t xml:space="preserve"> transferir ou compartilhar o risco a outra parte;</w:t>
      </w:r>
    </w:p>
    <w:p w14:paraId="5DF80CB3"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i/>
          <w:sz w:val="24"/>
          <w:szCs w:val="24"/>
        </w:rPr>
        <w:t>c)</w:t>
      </w:r>
      <w:r w:rsidRPr="000258EA">
        <w:rPr>
          <w:rFonts w:ascii="Arial" w:hAnsi="Arial" w:cs="Arial"/>
          <w:sz w:val="24"/>
          <w:szCs w:val="24"/>
        </w:rPr>
        <w:t xml:space="preserve"> evitar o risco pela decisão de não iniciar ou descontinuar a atividade que dá origem ao risco; ou</w:t>
      </w:r>
    </w:p>
    <w:p w14:paraId="100C1F7F"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i/>
          <w:sz w:val="24"/>
          <w:szCs w:val="24"/>
        </w:rPr>
        <w:t>d)</w:t>
      </w:r>
      <w:r w:rsidRPr="000258EA">
        <w:rPr>
          <w:rFonts w:ascii="Arial" w:hAnsi="Arial" w:cs="Arial"/>
          <w:sz w:val="24"/>
          <w:szCs w:val="24"/>
        </w:rPr>
        <w:t xml:space="preserve"> mitigar/reduzir o nível de risco diminuindo sua probabilidade de ocorrência ou minimizando seus impactos e suas consequências.</w:t>
      </w:r>
    </w:p>
    <w:p w14:paraId="3C211744"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XXII - “Risco”: evento ou condição incerta que, se ocorrer, provocará um efeito negativo em um ou mais objetivos, processos de trabalho ou projetos institucionais;</w:t>
      </w:r>
    </w:p>
    <w:p w14:paraId="5C865428" w14:textId="77777777" w:rsidR="003546F5" w:rsidRPr="00872C23" w:rsidRDefault="003546F5" w:rsidP="000258EA">
      <w:pPr>
        <w:spacing w:before="120" w:after="0" w:line="240" w:lineRule="auto"/>
        <w:ind w:firstLine="1134"/>
        <w:jc w:val="both"/>
        <w:rPr>
          <w:rFonts w:ascii="Arial" w:hAnsi="Arial" w:cs="Arial"/>
          <w:strike/>
          <w:sz w:val="24"/>
          <w:szCs w:val="24"/>
        </w:rPr>
      </w:pPr>
      <w:r w:rsidRPr="00872C23">
        <w:rPr>
          <w:rFonts w:ascii="Arial" w:hAnsi="Arial" w:cs="Arial"/>
          <w:strike/>
          <w:sz w:val="24"/>
          <w:szCs w:val="24"/>
        </w:rPr>
        <w:t>XXIII - “Risco-chave”: risco que, em função de seu impacto potencial, deve ser conhecido pela alta cúpula do Tribunal e necessariamente tratado;</w:t>
      </w:r>
    </w:p>
    <w:p w14:paraId="2610E115" w14:textId="1D079DC6" w:rsidR="00872C23" w:rsidRPr="000258EA" w:rsidRDefault="00872C23" w:rsidP="00872C23">
      <w:pPr>
        <w:spacing w:before="120" w:after="0" w:line="240" w:lineRule="auto"/>
        <w:ind w:firstLine="1134"/>
        <w:jc w:val="both"/>
        <w:rPr>
          <w:rFonts w:ascii="Arial" w:hAnsi="Arial" w:cs="Arial"/>
          <w:sz w:val="24"/>
          <w:szCs w:val="24"/>
        </w:rPr>
      </w:pPr>
      <w:r w:rsidRPr="00872C23">
        <w:rPr>
          <w:rFonts w:ascii="Arial" w:hAnsi="Arial" w:cs="Arial"/>
          <w:sz w:val="24"/>
          <w:szCs w:val="24"/>
        </w:rPr>
        <w:lastRenderedPageBreak/>
        <w:t>XXIII - “Risco-chave”: risco que, em função de seu alto impacto e alta probabilidade de ocorrência, deve ser conhecido pela Comissão de Gestão de Riscos e pelo Presidente do Tribunal e necessariamente tratado;</w:t>
      </w:r>
      <w:r>
        <w:rPr>
          <w:rFonts w:ascii="Arial" w:hAnsi="Arial" w:cs="Arial"/>
          <w:sz w:val="24"/>
          <w:szCs w:val="24"/>
        </w:rPr>
        <w:t xml:space="preserve"> </w:t>
      </w:r>
      <w:hyperlink r:id="rId12" w:history="1">
        <w:r w:rsidRPr="00872C23">
          <w:rPr>
            <w:rStyle w:val="Hyperlink"/>
            <w:rFonts w:ascii="Arial" w:hAnsi="Arial" w:cs="Arial"/>
            <w:sz w:val="24"/>
            <w:szCs w:val="24"/>
          </w:rPr>
          <w:t>(Redação dada pela Resolução n.º 139/2026)</w:t>
        </w:r>
      </w:hyperlink>
    </w:p>
    <w:p w14:paraId="2857752C"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XXIV - “Risco inerente”: é aquele ao qual a organização está exposta quando não são estabelecidas nem adotadas medidas para alterar a probabilidade ou o impacto dos eventos;</w:t>
      </w:r>
    </w:p>
    <w:p w14:paraId="3E36EF61"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XXV - “Risco residual”: risco remanescente após o tratamento;</w:t>
      </w:r>
    </w:p>
    <w:p w14:paraId="5C8A2046"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XXVI - “Tolerância ao risco”: disposição do TCE/PR em suportar determinado nível de risco;</w:t>
      </w:r>
    </w:p>
    <w:p w14:paraId="3A04F492" w14:textId="77777777" w:rsidR="003546F5" w:rsidRDefault="003546F5" w:rsidP="000258EA">
      <w:pPr>
        <w:spacing w:before="120" w:after="0" w:line="240" w:lineRule="auto"/>
        <w:ind w:firstLine="1134"/>
        <w:jc w:val="both"/>
        <w:rPr>
          <w:rFonts w:ascii="Arial" w:hAnsi="Arial" w:cs="Arial"/>
          <w:szCs w:val="24"/>
        </w:rPr>
      </w:pPr>
      <w:r w:rsidRPr="000258EA">
        <w:rPr>
          <w:rFonts w:ascii="Arial" w:hAnsi="Arial" w:cs="Arial"/>
          <w:sz w:val="24"/>
          <w:szCs w:val="24"/>
        </w:rPr>
        <w:t>XXVII - “Vulnerabilidade”: suscetibilidade a uma fonte de risco.</w:t>
      </w:r>
    </w:p>
    <w:p w14:paraId="6B276864" w14:textId="77777777" w:rsidR="003546F5" w:rsidRPr="00E17FE3" w:rsidRDefault="003546F5" w:rsidP="003546F5">
      <w:pPr>
        <w:keepNext/>
        <w:spacing w:before="240" w:after="120" w:line="252" w:lineRule="auto"/>
        <w:jc w:val="center"/>
        <w:outlineLvl w:val="0"/>
        <w:rPr>
          <w:rFonts w:ascii="Arial" w:eastAsia="Times New Roman" w:hAnsi="Arial" w:cs="Arial"/>
          <w:b/>
          <w:bCs/>
          <w:kern w:val="32"/>
          <w:sz w:val="24"/>
          <w:szCs w:val="24"/>
        </w:rPr>
      </w:pPr>
      <w:bookmarkStart w:id="5" w:name="_Toc10714173"/>
      <w:r w:rsidRPr="00E17FE3">
        <w:rPr>
          <w:rFonts w:ascii="Arial" w:hAnsi="Arial" w:cs="Arial"/>
          <w:b/>
          <w:bCs/>
          <w:kern w:val="32"/>
          <w:sz w:val="24"/>
          <w:szCs w:val="24"/>
        </w:rPr>
        <w:t>CAPÍTULO III</w:t>
      </w:r>
      <w:r w:rsidRPr="00E17FE3">
        <w:rPr>
          <w:rFonts w:ascii="Arial" w:hAnsi="Arial" w:cs="Arial"/>
          <w:b/>
          <w:bCs/>
          <w:kern w:val="32"/>
          <w:sz w:val="24"/>
          <w:szCs w:val="24"/>
        </w:rPr>
        <w:br/>
        <w:t>DAS INSTÂNCIAS RESPONSÁVEIS PELO SISTEMA DE GESTÃO DE RISCOS</w:t>
      </w:r>
      <w:bookmarkEnd w:id="5"/>
    </w:p>
    <w:p w14:paraId="61DCBEFC" w14:textId="77777777" w:rsidR="003546F5" w:rsidRPr="00E17FE3" w:rsidRDefault="003546F5" w:rsidP="000258EA">
      <w:pPr>
        <w:spacing w:before="120" w:after="0" w:line="240" w:lineRule="auto"/>
        <w:ind w:firstLine="1134"/>
        <w:jc w:val="both"/>
        <w:rPr>
          <w:rFonts w:ascii="Arial" w:hAnsi="Arial" w:cs="Arial"/>
          <w:sz w:val="24"/>
          <w:szCs w:val="24"/>
        </w:rPr>
      </w:pPr>
      <w:bookmarkStart w:id="6" w:name="_Hlk6823378"/>
      <w:r w:rsidRPr="00E17FE3">
        <w:rPr>
          <w:rFonts w:ascii="Arial" w:hAnsi="Arial" w:cs="Arial"/>
          <w:b/>
          <w:sz w:val="24"/>
          <w:szCs w:val="24"/>
        </w:rPr>
        <w:t>Art. 8º</w:t>
      </w:r>
      <w:r w:rsidRPr="00E17FE3">
        <w:rPr>
          <w:rFonts w:ascii="Arial" w:hAnsi="Arial" w:cs="Arial"/>
          <w:sz w:val="24"/>
          <w:szCs w:val="24"/>
        </w:rPr>
        <w:t xml:space="preserve"> São instâncias responsáveis pelo Sistema de Gestão de Riscos do Tribunal de Contas do Estado do Paraná:</w:t>
      </w:r>
    </w:p>
    <w:p w14:paraId="6C97B0B9" w14:textId="77777777" w:rsidR="003546F5" w:rsidRPr="00E17FE3" w:rsidRDefault="003546F5" w:rsidP="000258EA">
      <w:pPr>
        <w:spacing w:before="120" w:after="0" w:line="240" w:lineRule="auto"/>
        <w:ind w:firstLine="1134"/>
        <w:jc w:val="both"/>
        <w:rPr>
          <w:rFonts w:ascii="Arial" w:hAnsi="Arial" w:cs="Arial"/>
          <w:sz w:val="24"/>
          <w:szCs w:val="24"/>
        </w:rPr>
      </w:pPr>
      <w:r w:rsidRPr="00E17FE3">
        <w:rPr>
          <w:rFonts w:ascii="Arial" w:hAnsi="Arial" w:cs="Arial"/>
          <w:sz w:val="24"/>
          <w:szCs w:val="24"/>
        </w:rPr>
        <w:t>I - Tribunal Pleno;</w:t>
      </w:r>
    </w:p>
    <w:p w14:paraId="1263879F" w14:textId="77777777" w:rsidR="003546F5" w:rsidRPr="009F2A58" w:rsidRDefault="003546F5" w:rsidP="000258EA">
      <w:pPr>
        <w:spacing w:before="120" w:after="0" w:line="240" w:lineRule="auto"/>
        <w:ind w:firstLine="1134"/>
        <w:jc w:val="both"/>
        <w:rPr>
          <w:rFonts w:ascii="Arial" w:hAnsi="Arial" w:cs="Arial"/>
          <w:strike/>
          <w:sz w:val="24"/>
          <w:szCs w:val="24"/>
        </w:rPr>
      </w:pPr>
      <w:r w:rsidRPr="009F2A58">
        <w:rPr>
          <w:rFonts w:ascii="Arial" w:hAnsi="Arial" w:cs="Arial"/>
          <w:strike/>
          <w:sz w:val="24"/>
          <w:szCs w:val="24"/>
        </w:rPr>
        <w:t>II - Presidência;</w:t>
      </w:r>
    </w:p>
    <w:p w14:paraId="48AA4F9E" w14:textId="077C99CB" w:rsidR="009F2A58" w:rsidRPr="00E17FE3" w:rsidRDefault="009F2A58" w:rsidP="009F2A58">
      <w:pPr>
        <w:spacing w:before="120" w:after="0" w:line="240" w:lineRule="auto"/>
        <w:ind w:firstLine="1134"/>
        <w:jc w:val="both"/>
        <w:rPr>
          <w:rFonts w:ascii="Arial" w:hAnsi="Arial" w:cs="Arial"/>
          <w:sz w:val="24"/>
          <w:szCs w:val="24"/>
        </w:rPr>
      </w:pPr>
      <w:r w:rsidRPr="00E17FE3">
        <w:rPr>
          <w:rFonts w:ascii="Arial" w:hAnsi="Arial" w:cs="Arial"/>
          <w:sz w:val="24"/>
          <w:szCs w:val="24"/>
        </w:rPr>
        <w:t>II - Presid</w:t>
      </w:r>
      <w:r>
        <w:rPr>
          <w:rFonts w:ascii="Arial" w:hAnsi="Arial" w:cs="Arial"/>
          <w:sz w:val="24"/>
          <w:szCs w:val="24"/>
        </w:rPr>
        <w:t>ente</w:t>
      </w:r>
      <w:r w:rsidRPr="00E17FE3">
        <w:rPr>
          <w:rFonts w:ascii="Arial" w:hAnsi="Arial" w:cs="Arial"/>
          <w:sz w:val="24"/>
          <w:szCs w:val="24"/>
        </w:rPr>
        <w:t>;</w:t>
      </w:r>
      <w:r>
        <w:rPr>
          <w:rFonts w:ascii="Arial" w:hAnsi="Arial" w:cs="Arial"/>
          <w:sz w:val="24"/>
          <w:szCs w:val="24"/>
        </w:rPr>
        <w:t xml:space="preserve"> </w:t>
      </w:r>
      <w:hyperlink r:id="rId13" w:history="1">
        <w:r w:rsidRPr="00872C23">
          <w:rPr>
            <w:rStyle w:val="Hyperlink"/>
            <w:rFonts w:ascii="Arial" w:hAnsi="Arial" w:cs="Arial"/>
            <w:sz w:val="24"/>
            <w:szCs w:val="24"/>
          </w:rPr>
          <w:t>(Redação dada pela Resolução n.º 139/2026)</w:t>
        </w:r>
      </w:hyperlink>
    </w:p>
    <w:p w14:paraId="0F568D25" w14:textId="77777777" w:rsidR="003546F5" w:rsidRPr="00E17FE3" w:rsidRDefault="003546F5" w:rsidP="000258EA">
      <w:pPr>
        <w:spacing w:before="120" w:after="0" w:line="240" w:lineRule="auto"/>
        <w:ind w:firstLine="1134"/>
        <w:jc w:val="both"/>
        <w:rPr>
          <w:rFonts w:ascii="Arial" w:hAnsi="Arial" w:cs="Arial"/>
          <w:sz w:val="24"/>
          <w:szCs w:val="24"/>
        </w:rPr>
      </w:pPr>
      <w:r w:rsidRPr="00E17FE3">
        <w:rPr>
          <w:rFonts w:ascii="Arial" w:hAnsi="Arial" w:cs="Arial"/>
          <w:sz w:val="24"/>
          <w:szCs w:val="24"/>
        </w:rPr>
        <w:t>III - Comissão de Gestão de Riscos;</w:t>
      </w:r>
    </w:p>
    <w:p w14:paraId="067188A1" w14:textId="77777777" w:rsidR="003546F5" w:rsidRDefault="003546F5" w:rsidP="000258EA">
      <w:pPr>
        <w:spacing w:before="120" w:after="0" w:line="240" w:lineRule="auto"/>
        <w:ind w:firstLine="1134"/>
        <w:jc w:val="both"/>
        <w:rPr>
          <w:rFonts w:ascii="Arial" w:hAnsi="Arial" w:cs="Arial"/>
          <w:strike/>
          <w:sz w:val="24"/>
          <w:szCs w:val="24"/>
        </w:rPr>
      </w:pPr>
      <w:r w:rsidRPr="00F91E56">
        <w:rPr>
          <w:rFonts w:ascii="Arial" w:hAnsi="Arial" w:cs="Arial"/>
          <w:strike/>
          <w:sz w:val="24"/>
          <w:szCs w:val="24"/>
        </w:rPr>
        <w:t xml:space="preserve">IV - </w:t>
      </w:r>
      <w:bookmarkStart w:id="7" w:name="_Hlk6825510"/>
      <w:r w:rsidRPr="00F91E56">
        <w:rPr>
          <w:rFonts w:ascii="Arial" w:hAnsi="Arial" w:cs="Arial"/>
          <w:strike/>
          <w:sz w:val="24"/>
          <w:szCs w:val="24"/>
        </w:rPr>
        <w:t>Núcleo de Gestão de Riscos</w:t>
      </w:r>
      <w:bookmarkEnd w:id="7"/>
      <w:r w:rsidRPr="00F91E56">
        <w:rPr>
          <w:rFonts w:ascii="Arial" w:hAnsi="Arial" w:cs="Arial"/>
          <w:strike/>
          <w:sz w:val="24"/>
          <w:szCs w:val="24"/>
        </w:rPr>
        <w:t>;</w:t>
      </w:r>
    </w:p>
    <w:p w14:paraId="134CBC74" w14:textId="4BC78C46" w:rsidR="00F91E56" w:rsidRPr="00F91E56" w:rsidRDefault="00F91E56" w:rsidP="000258EA">
      <w:pPr>
        <w:spacing w:before="120" w:after="0" w:line="240" w:lineRule="auto"/>
        <w:ind w:firstLine="1134"/>
        <w:jc w:val="both"/>
        <w:rPr>
          <w:rFonts w:ascii="Arial" w:hAnsi="Arial" w:cs="Arial"/>
          <w:strike/>
          <w:sz w:val="24"/>
          <w:szCs w:val="24"/>
        </w:rPr>
      </w:pPr>
      <w:r w:rsidRPr="00F91E56">
        <w:rPr>
          <w:rFonts w:ascii="Arial" w:hAnsi="Arial" w:cs="Arial"/>
          <w:sz w:val="24"/>
          <w:szCs w:val="24"/>
        </w:rPr>
        <w:t xml:space="preserve">IV - </w:t>
      </w:r>
      <w:hyperlink r:id="rId14" w:history="1">
        <w:r>
          <w:rPr>
            <w:rStyle w:val="Hyperlink"/>
            <w:rFonts w:ascii="Arial" w:hAnsi="Arial" w:cs="Arial"/>
            <w:sz w:val="24"/>
            <w:szCs w:val="24"/>
          </w:rPr>
          <w:t>(Revogado pela Resolução n.º 139/2026)</w:t>
        </w:r>
      </w:hyperlink>
    </w:p>
    <w:p w14:paraId="4C934734" w14:textId="77777777" w:rsidR="003546F5" w:rsidRPr="009F2A58" w:rsidRDefault="003546F5" w:rsidP="000258EA">
      <w:pPr>
        <w:spacing w:before="120" w:after="0" w:line="240" w:lineRule="auto"/>
        <w:ind w:firstLine="1134"/>
        <w:jc w:val="both"/>
        <w:rPr>
          <w:rFonts w:ascii="Arial" w:hAnsi="Arial" w:cs="Arial"/>
          <w:strike/>
          <w:sz w:val="24"/>
          <w:szCs w:val="24"/>
        </w:rPr>
      </w:pPr>
      <w:r w:rsidRPr="009F2A58">
        <w:rPr>
          <w:rFonts w:ascii="Arial" w:hAnsi="Arial" w:cs="Arial"/>
          <w:strike/>
          <w:sz w:val="24"/>
          <w:szCs w:val="24"/>
        </w:rPr>
        <w:t>V - Gestores de risco; e</w:t>
      </w:r>
    </w:p>
    <w:p w14:paraId="5218C123" w14:textId="40DE86AC" w:rsidR="009F2A58" w:rsidRDefault="009F2A58" w:rsidP="000258EA">
      <w:pPr>
        <w:spacing w:before="120" w:after="0" w:line="240" w:lineRule="auto"/>
        <w:ind w:firstLine="1134"/>
        <w:jc w:val="both"/>
        <w:rPr>
          <w:rFonts w:ascii="Arial" w:hAnsi="Arial" w:cs="Arial"/>
          <w:sz w:val="24"/>
          <w:szCs w:val="24"/>
        </w:rPr>
      </w:pPr>
      <w:r w:rsidRPr="009F2A58">
        <w:rPr>
          <w:rFonts w:ascii="Arial" w:hAnsi="Arial" w:cs="Arial"/>
          <w:sz w:val="24"/>
          <w:szCs w:val="24"/>
        </w:rPr>
        <w:t xml:space="preserve">V - Gestores de riscos; </w:t>
      </w:r>
      <w:hyperlink r:id="rId15" w:history="1">
        <w:r w:rsidRPr="00872C23">
          <w:rPr>
            <w:rStyle w:val="Hyperlink"/>
            <w:rFonts w:ascii="Arial" w:hAnsi="Arial" w:cs="Arial"/>
            <w:sz w:val="24"/>
            <w:szCs w:val="24"/>
          </w:rPr>
          <w:t>(Redação dada pela Resolução n.º 139/2026)</w:t>
        </w:r>
      </w:hyperlink>
    </w:p>
    <w:p w14:paraId="491F7101" w14:textId="7D9ED9DC" w:rsidR="003546F5" w:rsidRPr="009F2A58" w:rsidRDefault="003546F5" w:rsidP="000258EA">
      <w:pPr>
        <w:spacing w:before="120" w:after="0" w:line="240" w:lineRule="auto"/>
        <w:ind w:firstLine="1134"/>
        <w:jc w:val="both"/>
        <w:rPr>
          <w:rFonts w:ascii="Arial" w:hAnsi="Arial" w:cs="Arial"/>
          <w:strike/>
          <w:sz w:val="24"/>
          <w:szCs w:val="24"/>
        </w:rPr>
      </w:pPr>
      <w:r w:rsidRPr="009F2A58">
        <w:rPr>
          <w:rFonts w:ascii="Arial" w:hAnsi="Arial" w:cs="Arial"/>
          <w:strike/>
          <w:sz w:val="24"/>
          <w:szCs w:val="24"/>
        </w:rPr>
        <w:t>VI - Controladoria Interna.</w:t>
      </w:r>
    </w:p>
    <w:p w14:paraId="7E8E8D7C" w14:textId="749E7A17" w:rsidR="009F2A58" w:rsidRDefault="009F2A58" w:rsidP="000258EA">
      <w:pPr>
        <w:spacing w:before="120" w:after="0" w:line="240" w:lineRule="auto"/>
        <w:ind w:firstLine="1134"/>
        <w:jc w:val="both"/>
        <w:rPr>
          <w:rFonts w:ascii="Arial" w:hAnsi="Arial" w:cs="Arial"/>
          <w:sz w:val="24"/>
          <w:szCs w:val="24"/>
        </w:rPr>
      </w:pPr>
      <w:r w:rsidRPr="009F2A58">
        <w:rPr>
          <w:rFonts w:ascii="Arial" w:hAnsi="Arial" w:cs="Arial"/>
          <w:sz w:val="24"/>
          <w:szCs w:val="24"/>
        </w:rPr>
        <w:t>VI - Controladoria Interna; e</w:t>
      </w:r>
      <w:r>
        <w:rPr>
          <w:rFonts w:ascii="Arial" w:hAnsi="Arial" w:cs="Arial"/>
          <w:sz w:val="24"/>
          <w:szCs w:val="24"/>
        </w:rPr>
        <w:t xml:space="preserve"> </w:t>
      </w:r>
      <w:hyperlink r:id="rId16" w:history="1">
        <w:r w:rsidRPr="00872C23">
          <w:rPr>
            <w:rStyle w:val="Hyperlink"/>
            <w:rFonts w:ascii="Arial" w:hAnsi="Arial" w:cs="Arial"/>
            <w:sz w:val="24"/>
            <w:szCs w:val="24"/>
          </w:rPr>
          <w:t>(Redação dada pela Resolução n.º 139/2026)</w:t>
        </w:r>
      </w:hyperlink>
    </w:p>
    <w:p w14:paraId="5BE00FE2" w14:textId="557A25B6" w:rsidR="007B635A" w:rsidRPr="00E17FE3" w:rsidRDefault="007B635A" w:rsidP="000258EA">
      <w:pPr>
        <w:spacing w:before="120" w:after="0" w:line="240" w:lineRule="auto"/>
        <w:ind w:firstLine="1134"/>
        <w:jc w:val="both"/>
        <w:rPr>
          <w:rFonts w:ascii="Arial" w:hAnsi="Arial" w:cs="Arial"/>
          <w:sz w:val="24"/>
          <w:szCs w:val="24"/>
        </w:rPr>
      </w:pPr>
      <w:r w:rsidRPr="007B635A">
        <w:rPr>
          <w:rFonts w:ascii="Arial" w:hAnsi="Arial" w:cs="Arial"/>
          <w:sz w:val="24"/>
          <w:szCs w:val="24"/>
        </w:rPr>
        <w:t>VII - Secretaria de Governança, Planejamento e Gestão Estratégica – SEPLAN.</w:t>
      </w:r>
      <w:r>
        <w:rPr>
          <w:rFonts w:ascii="Arial" w:hAnsi="Arial" w:cs="Arial"/>
          <w:sz w:val="24"/>
          <w:szCs w:val="24"/>
        </w:rPr>
        <w:t xml:space="preserve"> </w:t>
      </w:r>
      <w:hyperlink r:id="rId17" w:history="1">
        <w:r>
          <w:rPr>
            <w:rStyle w:val="Hyperlink"/>
            <w:rFonts w:ascii="Arial" w:hAnsi="Arial" w:cs="Arial"/>
            <w:sz w:val="24"/>
            <w:szCs w:val="24"/>
          </w:rPr>
          <w:t>(Incluído pela Resolução n.º 139/2026)</w:t>
        </w:r>
      </w:hyperlink>
    </w:p>
    <w:p w14:paraId="563F0868" w14:textId="77777777" w:rsidR="003546F5" w:rsidRDefault="003546F5" w:rsidP="000258EA">
      <w:pPr>
        <w:spacing w:before="120" w:after="0" w:line="240" w:lineRule="auto"/>
        <w:ind w:firstLine="1134"/>
        <w:jc w:val="both"/>
        <w:rPr>
          <w:rFonts w:ascii="Arial" w:hAnsi="Arial" w:cs="Arial"/>
          <w:strike/>
          <w:sz w:val="24"/>
          <w:szCs w:val="24"/>
        </w:rPr>
      </w:pPr>
      <w:bookmarkStart w:id="8" w:name="_Hlk6823906"/>
      <w:bookmarkEnd w:id="6"/>
      <w:r w:rsidRPr="009F2A58">
        <w:rPr>
          <w:rFonts w:ascii="Arial" w:hAnsi="Arial" w:cs="Arial"/>
          <w:strike/>
          <w:sz w:val="24"/>
          <w:szCs w:val="24"/>
        </w:rPr>
        <w:t xml:space="preserve">§ 1º O Tribunal Pleno, nos termos dos </w:t>
      </w:r>
      <w:proofErr w:type="spellStart"/>
      <w:r w:rsidRPr="009F2A58">
        <w:rPr>
          <w:rFonts w:ascii="Arial" w:hAnsi="Arial" w:cs="Arial"/>
          <w:strike/>
          <w:sz w:val="24"/>
          <w:szCs w:val="24"/>
        </w:rPr>
        <w:t>arts</w:t>
      </w:r>
      <w:proofErr w:type="spellEnd"/>
      <w:r w:rsidRPr="009F2A58">
        <w:rPr>
          <w:rFonts w:ascii="Arial" w:hAnsi="Arial" w:cs="Arial"/>
          <w:strike/>
          <w:sz w:val="24"/>
          <w:szCs w:val="24"/>
        </w:rPr>
        <w:t>. 3º e 5º, XXXVIII, do Regimento Interno, é a instância máxima de deliberação do SGR.</w:t>
      </w:r>
    </w:p>
    <w:p w14:paraId="73F55CD2" w14:textId="3BEA9A65" w:rsidR="009F2A58" w:rsidRPr="009F2A58" w:rsidRDefault="009F2A58" w:rsidP="000258EA">
      <w:pPr>
        <w:spacing w:before="120" w:after="0" w:line="240" w:lineRule="auto"/>
        <w:ind w:firstLine="1134"/>
        <w:jc w:val="both"/>
        <w:rPr>
          <w:rFonts w:ascii="Arial" w:hAnsi="Arial" w:cs="Arial"/>
          <w:sz w:val="24"/>
          <w:szCs w:val="24"/>
        </w:rPr>
      </w:pPr>
      <w:r w:rsidRPr="009F2A58">
        <w:rPr>
          <w:rFonts w:ascii="Arial" w:hAnsi="Arial" w:cs="Arial"/>
          <w:sz w:val="24"/>
          <w:szCs w:val="24"/>
        </w:rPr>
        <w:t>§ 1º O Tribunal Pleno é a instância máxima de deliberação acerca dos resultados do Sistema de Gestão de Riscos, responsável por fomentar a cultura da gestão de riscos e aprovar a política e eventuais alterações.</w:t>
      </w:r>
      <w:r>
        <w:rPr>
          <w:rFonts w:ascii="Arial" w:hAnsi="Arial" w:cs="Arial"/>
          <w:sz w:val="24"/>
          <w:szCs w:val="24"/>
        </w:rPr>
        <w:t xml:space="preserve"> </w:t>
      </w:r>
      <w:hyperlink r:id="rId18" w:history="1">
        <w:r w:rsidRPr="00872C23">
          <w:rPr>
            <w:rStyle w:val="Hyperlink"/>
            <w:rFonts w:ascii="Arial" w:hAnsi="Arial" w:cs="Arial"/>
            <w:sz w:val="24"/>
            <w:szCs w:val="24"/>
          </w:rPr>
          <w:t>(Redação dada pela Resolução n.º 139/2026)</w:t>
        </w:r>
      </w:hyperlink>
    </w:p>
    <w:p w14:paraId="4B325DD7" w14:textId="77777777" w:rsidR="003546F5" w:rsidRDefault="003546F5" w:rsidP="000258EA">
      <w:pPr>
        <w:spacing w:before="120" w:after="0" w:line="240" w:lineRule="auto"/>
        <w:ind w:firstLine="1134"/>
        <w:jc w:val="both"/>
        <w:rPr>
          <w:rFonts w:ascii="Arial" w:hAnsi="Arial" w:cs="Arial"/>
          <w:strike/>
          <w:sz w:val="24"/>
          <w:szCs w:val="24"/>
        </w:rPr>
      </w:pPr>
      <w:r w:rsidRPr="009F2A58">
        <w:rPr>
          <w:rFonts w:ascii="Arial" w:hAnsi="Arial" w:cs="Arial"/>
          <w:strike/>
          <w:sz w:val="24"/>
          <w:szCs w:val="24"/>
        </w:rPr>
        <w:t>§ 2º Compete à Presidência do TCE/PR definir os limites de exposição a riscos de abrangência institucional, aprovar planos de resposta preventivos e/ou contingenciais a riscos-chave, dar ciência dos resultados do SGR ao Tribunal Pleno e determinar, sempre que necessário, ações corretivas visando à melhoria contínua do sistema.</w:t>
      </w:r>
    </w:p>
    <w:p w14:paraId="212BAE5F" w14:textId="53174EBE" w:rsidR="009F2A58" w:rsidRDefault="009F2A58" w:rsidP="000258EA">
      <w:pPr>
        <w:spacing w:before="120" w:after="0" w:line="240" w:lineRule="auto"/>
        <w:ind w:firstLine="1134"/>
        <w:jc w:val="both"/>
        <w:rPr>
          <w:rFonts w:ascii="Arial" w:hAnsi="Arial" w:cs="Arial"/>
          <w:sz w:val="24"/>
          <w:szCs w:val="24"/>
        </w:rPr>
      </w:pPr>
      <w:r w:rsidRPr="009F2A58">
        <w:rPr>
          <w:rFonts w:ascii="Arial" w:hAnsi="Arial" w:cs="Arial"/>
          <w:sz w:val="24"/>
          <w:szCs w:val="24"/>
        </w:rPr>
        <w:t>§ 2º Compete ao Presidente do Tribunal:</w:t>
      </w:r>
      <w:r>
        <w:rPr>
          <w:rFonts w:ascii="Arial" w:hAnsi="Arial" w:cs="Arial"/>
          <w:sz w:val="24"/>
          <w:szCs w:val="24"/>
        </w:rPr>
        <w:t xml:space="preserve"> </w:t>
      </w:r>
      <w:hyperlink r:id="rId19" w:history="1">
        <w:r w:rsidRPr="00872C23">
          <w:rPr>
            <w:rStyle w:val="Hyperlink"/>
            <w:rFonts w:ascii="Arial" w:hAnsi="Arial" w:cs="Arial"/>
            <w:sz w:val="24"/>
            <w:szCs w:val="24"/>
          </w:rPr>
          <w:t>(Redação dada pela Resolução n.º 139/2026)</w:t>
        </w:r>
      </w:hyperlink>
    </w:p>
    <w:p w14:paraId="176E1B79" w14:textId="425E1401" w:rsidR="009F2A58" w:rsidRDefault="009F2A58" w:rsidP="000258EA">
      <w:pPr>
        <w:spacing w:before="120" w:after="0" w:line="240" w:lineRule="auto"/>
        <w:ind w:firstLine="1134"/>
        <w:jc w:val="both"/>
        <w:rPr>
          <w:rFonts w:ascii="Arial" w:hAnsi="Arial" w:cs="Arial"/>
          <w:sz w:val="24"/>
          <w:szCs w:val="24"/>
        </w:rPr>
      </w:pPr>
      <w:r w:rsidRPr="009F2A58">
        <w:rPr>
          <w:rFonts w:ascii="Arial" w:hAnsi="Arial" w:cs="Arial"/>
          <w:sz w:val="24"/>
          <w:szCs w:val="24"/>
        </w:rPr>
        <w:lastRenderedPageBreak/>
        <w:t xml:space="preserve">I - </w:t>
      </w:r>
      <w:proofErr w:type="gramStart"/>
      <w:r w:rsidRPr="009F2A58">
        <w:rPr>
          <w:rFonts w:ascii="Arial" w:hAnsi="Arial" w:cs="Arial"/>
          <w:sz w:val="24"/>
          <w:szCs w:val="24"/>
        </w:rPr>
        <w:t>definir</w:t>
      </w:r>
      <w:proofErr w:type="gramEnd"/>
      <w:r w:rsidRPr="009F2A58">
        <w:rPr>
          <w:rFonts w:ascii="Arial" w:hAnsi="Arial" w:cs="Arial"/>
          <w:sz w:val="24"/>
          <w:szCs w:val="24"/>
        </w:rPr>
        <w:t xml:space="preserve"> os limites de exposição a riscos de abrangência institucional;</w:t>
      </w:r>
      <w:r>
        <w:rPr>
          <w:rFonts w:ascii="Arial" w:hAnsi="Arial" w:cs="Arial"/>
          <w:sz w:val="24"/>
          <w:szCs w:val="24"/>
        </w:rPr>
        <w:t xml:space="preserve"> </w:t>
      </w:r>
      <w:hyperlink r:id="rId20" w:history="1">
        <w:r w:rsidRPr="00872C23">
          <w:rPr>
            <w:rStyle w:val="Hyperlink"/>
            <w:rFonts w:ascii="Arial" w:hAnsi="Arial" w:cs="Arial"/>
            <w:sz w:val="24"/>
            <w:szCs w:val="24"/>
          </w:rPr>
          <w:t>(Redação dada pela Resolução n.º 139/2026)</w:t>
        </w:r>
      </w:hyperlink>
    </w:p>
    <w:p w14:paraId="2426DFBF" w14:textId="5A274849" w:rsidR="009F2A58" w:rsidRDefault="009F2A58" w:rsidP="000258EA">
      <w:pPr>
        <w:spacing w:before="120" w:after="0" w:line="240" w:lineRule="auto"/>
        <w:ind w:firstLine="1134"/>
        <w:jc w:val="both"/>
        <w:rPr>
          <w:rFonts w:ascii="Arial" w:hAnsi="Arial" w:cs="Arial"/>
          <w:sz w:val="24"/>
          <w:szCs w:val="24"/>
        </w:rPr>
      </w:pPr>
      <w:r w:rsidRPr="009F2A58">
        <w:rPr>
          <w:rFonts w:ascii="Arial" w:hAnsi="Arial" w:cs="Arial"/>
          <w:sz w:val="24"/>
          <w:szCs w:val="24"/>
        </w:rPr>
        <w:t xml:space="preserve">II - </w:t>
      </w:r>
      <w:proofErr w:type="gramStart"/>
      <w:r w:rsidRPr="009F2A58">
        <w:rPr>
          <w:rFonts w:ascii="Arial" w:hAnsi="Arial" w:cs="Arial"/>
          <w:sz w:val="24"/>
          <w:szCs w:val="24"/>
        </w:rPr>
        <w:t>aprovar</w:t>
      </w:r>
      <w:proofErr w:type="gramEnd"/>
      <w:r w:rsidRPr="009F2A58">
        <w:rPr>
          <w:rFonts w:ascii="Arial" w:hAnsi="Arial" w:cs="Arial"/>
          <w:sz w:val="24"/>
          <w:szCs w:val="24"/>
        </w:rPr>
        <w:t xml:space="preserve"> planos de resposta preventivos e/ou contingenciais a riscos</w:t>
      </w:r>
      <w:r>
        <w:rPr>
          <w:rFonts w:ascii="Arial" w:hAnsi="Arial" w:cs="Arial"/>
          <w:sz w:val="24"/>
          <w:szCs w:val="24"/>
        </w:rPr>
        <w:t>-</w:t>
      </w:r>
      <w:r w:rsidRPr="009F2A58">
        <w:rPr>
          <w:rFonts w:ascii="Arial" w:hAnsi="Arial" w:cs="Arial"/>
          <w:sz w:val="24"/>
          <w:szCs w:val="24"/>
        </w:rPr>
        <w:t>chave;</w:t>
      </w:r>
      <w:r>
        <w:rPr>
          <w:rFonts w:ascii="Arial" w:hAnsi="Arial" w:cs="Arial"/>
          <w:sz w:val="24"/>
          <w:szCs w:val="24"/>
        </w:rPr>
        <w:t xml:space="preserve"> </w:t>
      </w:r>
      <w:hyperlink r:id="rId21" w:history="1">
        <w:r w:rsidRPr="00872C23">
          <w:rPr>
            <w:rStyle w:val="Hyperlink"/>
            <w:rFonts w:ascii="Arial" w:hAnsi="Arial" w:cs="Arial"/>
            <w:sz w:val="24"/>
            <w:szCs w:val="24"/>
          </w:rPr>
          <w:t>(Redação dada pela Resolução n.º 139/2026)</w:t>
        </w:r>
      </w:hyperlink>
    </w:p>
    <w:p w14:paraId="03A6D264" w14:textId="7C613D97" w:rsidR="009F2A58" w:rsidRDefault="009F2A58" w:rsidP="000258EA">
      <w:pPr>
        <w:spacing w:before="120" w:after="0" w:line="240" w:lineRule="auto"/>
        <w:ind w:firstLine="1134"/>
        <w:jc w:val="both"/>
        <w:rPr>
          <w:rFonts w:ascii="Arial" w:hAnsi="Arial" w:cs="Arial"/>
          <w:sz w:val="24"/>
          <w:szCs w:val="24"/>
        </w:rPr>
      </w:pPr>
      <w:r w:rsidRPr="009F2A58">
        <w:rPr>
          <w:rFonts w:ascii="Arial" w:hAnsi="Arial" w:cs="Arial"/>
          <w:sz w:val="24"/>
          <w:szCs w:val="24"/>
        </w:rPr>
        <w:t>III - determinar, sempre que necessário, ações corretivas visando à melhoria contínua do Sistema;</w:t>
      </w:r>
      <w:r>
        <w:rPr>
          <w:rFonts w:ascii="Arial" w:hAnsi="Arial" w:cs="Arial"/>
          <w:sz w:val="24"/>
          <w:szCs w:val="24"/>
        </w:rPr>
        <w:t xml:space="preserve"> </w:t>
      </w:r>
      <w:hyperlink r:id="rId22" w:history="1">
        <w:r w:rsidRPr="00872C23">
          <w:rPr>
            <w:rStyle w:val="Hyperlink"/>
            <w:rFonts w:ascii="Arial" w:hAnsi="Arial" w:cs="Arial"/>
            <w:sz w:val="24"/>
            <w:szCs w:val="24"/>
          </w:rPr>
          <w:t>(Redação dada pela Resolução n.º 139/2026)</w:t>
        </w:r>
      </w:hyperlink>
    </w:p>
    <w:p w14:paraId="402E4DDD" w14:textId="34E4033C" w:rsidR="009F2A58" w:rsidRPr="009F2A58" w:rsidRDefault="009F2A58" w:rsidP="000258EA">
      <w:pPr>
        <w:spacing w:before="120" w:after="0" w:line="240" w:lineRule="auto"/>
        <w:ind w:firstLine="1134"/>
        <w:jc w:val="both"/>
        <w:rPr>
          <w:rFonts w:ascii="Arial" w:hAnsi="Arial" w:cs="Arial"/>
          <w:sz w:val="24"/>
          <w:szCs w:val="24"/>
        </w:rPr>
      </w:pPr>
      <w:r w:rsidRPr="009F2A58">
        <w:rPr>
          <w:rFonts w:ascii="Arial" w:hAnsi="Arial" w:cs="Arial"/>
          <w:sz w:val="24"/>
          <w:szCs w:val="24"/>
        </w:rPr>
        <w:t xml:space="preserve">IV - </w:t>
      </w:r>
      <w:proofErr w:type="gramStart"/>
      <w:r w:rsidRPr="009F2A58">
        <w:rPr>
          <w:rFonts w:ascii="Arial" w:hAnsi="Arial" w:cs="Arial"/>
          <w:sz w:val="24"/>
          <w:szCs w:val="24"/>
        </w:rPr>
        <w:t>dar</w:t>
      </w:r>
      <w:proofErr w:type="gramEnd"/>
      <w:r w:rsidRPr="009F2A58">
        <w:rPr>
          <w:rFonts w:ascii="Arial" w:hAnsi="Arial" w:cs="Arial"/>
          <w:sz w:val="24"/>
          <w:szCs w:val="24"/>
        </w:rPr>
        <w:t xml:space="preserve"> ciência dos resultados do Sistema de Gestão de Riscos ao Tribunal Pleno.</w:t>
      </w:r>
      <w:r>
        <w:rPr>
          <w:rFonts w:ascii="Arial" w:hAnsi="Arial" w:cs="Arial"/>
          <w:sz w:val="24"/>
          <w:szCs w:val="24"/>
        </w:rPr>
        <w:t xml:space="preserve"> </w:t>
      </w:r>
      <w:hyperlink r:id="rId23" w:history="1">
        <w:r w:rsidRPr="00872C23">
          <w:rPr>
            <w:rStyle w:val="Hyperlink"/>
            <w:rFonts w:ascii="Arial" w:hAnsi="Arial" w:cs="Arial"/>
            <w:sz w:val="24"/>
            <w:szCs w:val="24"/>
          </w:rPr>
          <w:t>(Redação dada pela Resolução n.º 139/2026)</w:t>
        </w:r>
      </w:hyperlink>
    </w:p>
    <w:p w14:paraId="6646D5B3" w14:textId="77777777" w:rsidR="003546F5" w:rsidRDefault="003546F5" w:rsidP="000258EA">
      <w:pPr>
        <w:spacing w:before="120" w:after="0" w:line="240" w:lineRule="auto"/>
        <w:ind w:firstLine="1134"/>
        <w:jc w:val="both"/>
        <w:rPr>
          <w:rFonts w:ascii="Arial" w:hAnsi="Arial" w:cs="Arial"/>
          <w:strike/>
          <w:sz w:val="24"/>
          <w:szCs w:val="24"/>
        </w:rPr>
      </w:pPr>
      <w:r w:rsidRPr="009F2A58">
        <w:rPr>
          <w:rFonts w:ascii="Arial" w:hAnsi="Arial" w:cs="Arial"/>
          <w:strike/>
          <w:sz w:val="24"/>
          <w:szCs w:val="24"/>
        </w:rPr>
        <w:t>§ 3º Compete à Comissão de Gestão de Riscos, assessorada pelo Núcleo de Gestão de Riscos, apreciar propostas de mudança no SGR, propor eventuais ações corretivas e acompanhar os resultados do Núcleo de Gestão de Riscos.</w:t>
      </w:r>
    </w:p>
    <w:p w14:paraId="02331513" w14:textId="524192DB" w:rsidR="009F2A58" w:rsidRDefault="009F2A58" w:rsidP="000258EA">
      <w:pPr>
        <w:spacing w:before="120" w:after="0" w:line="240" w:lineRule="auto"/>
        <w:ind w:firstLine="1134"/>
        <w:jc w:val="both"/>
        <w:rPr>
          <w:rFonts w:ascii="Arial" w:hAnsi="Arial" w:cs="Arial"/>
          <w:sz w:val="24"/>
          <w:szCs w:val="24"/>
        </w:rPr>
      </w:pPr>
      <w:r w:rsidRPr="009F2A58">
        <w:rPr>
          <w:rFonts w:ascii="Arial" w:hAnsi="Arial" w:cs="Arial"/>
          <w:sz w:val="24"/>
          <w:szCs w:val="24"/>
        </w:rPr>
        <w:t>§ 3º Compete à Comissão de Gestão de Riscos:</w:t>
      </w:r>
      <w:r w:rsidR="00AF79F7">
        <w:rPr>
          <w:rFonts w:ascii="Arial" w:hAnsi="Arial" w:cs="Arial"/>
          <w:sz w:val="24"/>
          <w:szCs w:val="24"/>
        </w:rPr>
        <w:t xml:space="preserve"> </w:t>
      </w:r>
      <w:hyperlink r:id="rId24" w:history="1">
        <w:r w:rsidR="00AF79F7" w:rsidRPr="00872C23">
          <w:rPr>
            <w:rStyle w:val="Hyperlink"/>
            <w:rFonts w:ascii="Arial" w:hAnsi="Arial" w:cs="Arial"/>
            <w:sz w:val="24"/>
            <w:szCs w:val="24"/>
          </w:rPr>
          <w:t>(Redação dada pela Resolução n.º 139/2026)</w:t>
        </w:r>
      </w:hyperlink>
    </w:p>
    <w:p w14:paraId="3854394E" w14:textId="2F3DF183" w:rsidR="009F2A58" w:rsidRDefault="009F2A58" w:rsidP="000258EA">
      <w:pPr>
        <w:spacing w:before="120" w:after="0" w:line="240" w:lineRule="auto"/>
        <w:ind w:firstLine="1134"/>
        <w:jc w:val="both"/>
        <w:rPr>
          <w:rFonts w:ascii="Arial" w:hAnsi="Arial" w:cs="Arial"/>
          <w:sz w:val="24"/>
          <w:szCs w:val="24"/>
        </w:rPr>
      </w:pPr>
      <w:r w:rsidRPr="009F2A58">
        <w:rPr>
          <w:rFonts w:ascii="Arial" w:hAnsi="Arial" w:cs="Arial"/>
          <w:sz w:val="24"/>
          <w:szCs w:val="24"/>
        </w:rPr>
        <w:t xml:space="preserve">I - </w:t>
      </w:r>
      <w:proofErr w:type="gramStart"/>
      <w:r w:rsidRPr="009F2A58">
        <w:rPr>
          <w:rFonts w:ascii="Arial" w:hAnsi="Arial" w:cs="Arial"/>
          <w:sz w:val="24"/>
          <w:szCs w:val="24"/>
        </w:rPr>
        <w:t>propor</w:t>
      </w:r>
      <w:proofErr w:type="gramEnd"/>
      <w:r w:rsidRPr="009F2A58">
        <w:rPr>
          <w:rFonts w:ascii="Arial" w:hAnsi="Arial" w:cs="Arial"/>
          <w:sz w:val="24"/>
          <w:szCs w:val="24"/>
        </w:rPr>
        <w:t xml:space="preserve"> ao Presidente limites de exposição a riscos de abrangência institucional;</w:t>
      </w:r>
      <w:r w:rsidR="00AF79F7">
        <w:rPr>
          <w:rFonts w:ascii="Arial" w:hAnsi="Arial" w:cs="Arial"/>
          <w:sz w:val="24"/>
          <w:szCs w:val="24"/>
        </w:rPr>
        <w:t xml:space="preserve"> </w:t>
      </w:r>
      <w:hyperlink r:id="rId25" w:history="1">
        <w:r w:rsidR="00AF79F7" w:rsidRPr="00872C23">
          <w:rPr>
            <w:rStyle w:val="Hyperlink"/>
            <w:rFonts w:ascii="Arial" w:hAnsi="Arial" w:cs="Arial"/>
            <w:sz w:val="24"/>
            <w:szCs w:val="24"/>
          </w:rPr>
          <w:t>(Redação dada pela Resolução n.º 139/2026)</w:t>
        </w:r>
      </w:hyperlink>
    </w:p>
    <w:p w14:paraId="0853EAB8" w14:textId="66DE369C" w:rsidR="009F2A58" w:rsidRDefault="009F2A58" w:rsidP="000258EA">
      <w:pPr>
        <w:spacing w:before="120" w:after="0" w:line="240" w:lineRule="auto"/>
        <w:ind w:firstLine="1134"/>
        <w:jc w:val="both"/>
        <w:rPr>
          <w:rFonts w:ascii="Arial" w:hAnsi="Arial" w:cs="Arial"/>
          <w:sz w:val="24"/>
          <w:szCs w:val="24"/>
        </w:rPr>
      </w:pPr>
      <w:r w:rsidRPr="009F2A58">
        <w:rPr>
          <w:rFonts w:ascii="Arial" w:hAnsi="Arial" w:cs="Arial"/>
          <w:sz w:val="24"/>
          <w:szCs w:val="24"/>
        </w:rPr>
        <w:t xml:space="preserve">II - </w:t>
      </w:r>
      <w:proofErr w:type="gramStart"/>
      <w:r w:rsidRPr="009F2A58">
        <w:rPr>
          <w:rFonts w:ascii="Arial" w:hAnsi="Arial" w:cs="Arial"/>
          <w:sz w:val="24"/>
          <w:szCs w:val="24"/>
        </w:rPr>
        <w:t>acompanhar</w:t>
      </w:r>
      <w:proofErr w:type="gramEnd"/>
      <w:r w:rsidRPr="009F2A58">
        <w:rPr>
          <w:rFonts w:ascii="Arial" w:hAnsi="Arial" w:cs="Arial"/>
          <w:sz w:val="24"/>
          <w:szCs w:val="24"/>
        </w:rPr>
        <w:t xml:space="preserve"> os riscos-chave e oportunidades identificados pelos gestores de riscos;</w:t>
      </w:r>
      <w:r w:rsidR="00AF79F7">
        <w:rPr>
          <w:rFonts w:ascii="Arial" w:hAnsi="Arial" w:cs="Arial"/>
          <w:sz w:val="24"/>
          <w:szCs w:val="24"/>
        </w:rPr>
        <w:t xml:space="preserve"> </w:t>
      </w:r>
      <w:hyperlink r:id="rId26" w:history="1">
        <w:r w:rsidR="00AF79F7" w:rsidRPr="00872C23">
          <w:rPr>
            <w:rStyle w:val="Hyperlink"/>
            <w:rFonts w:ascii="Arial" w:hAnsi="Arial" w:cs="Arial"/>
            <w:sz w:val="24"/>
            <w:szCs w:val="24"/>
          </w:rPr>
          <w:t>(Redação dada pela Resolução n.º 139/2026)</w:t>
        </w:r>
      </w:hyperlink>
    </w:p>
    <w:p w14:paraId="275B06CB" w14:textId="766F51E9" w:rsidR="009F2A58" w:rsidRDefault="009F2A58" w:rsidP="000258EA">
      <w:pPr>
        <w:spacing w:before="120" w:after="0" w:line="240" w:lineRule="auto"/>
        <w:ind w:firstLine="1134"/>
        <w:jc w:val="both"/>
        <w:rPr>
          <w:rFonts w:ascii="Arial" w:hAnsi="Arial" w:cs="Arial"/>
          <w:sz w:val="24"/>
          <w:szCs w:val="24"/>
        </w:rPr>
      </w:pPr>
      <w:r w:rsidRPr="009F2A58">
        <w:rPr>
          <w:rFonts w:ascii="Arial" w:hAnsi="Arial" w:cs="Arial"/>
          <w:sz w:val="24"/>
          <w:szCs w:val="24"/>
        </w:rPr>
        <w:t>III - apreciar planos de resposta preventivos e/ou contingenciais elaborados pelos gestores de riscos;</w:t>
      </w:r>
      <w:r w:rsidR="00AF79F7">
        <w:rPr>
          <w:rFonts w:ascii="Arial" w:hAnsi="Arial" w:cs="Arial"/>
          <w:sz w:val="24"/>
          <w:szCs w:val="24"/>
        </w:rPr>
        <w:t xml:space="preserve"> </w:t>
      </w:r>
      <w:hyperlink r:id="rId27" w:history="1">
        <w:r w:rsidR="00AF79F7" w:rsidRPr="00872C23">
          <w:rPr>
            <w:rStyle w:val="Hyperlink"/>
            <w:rFonts w:ascii="Arial" w:hAnsi="Arial" w:cs="Arial"/>
            <w:sz w:val="24"/>
            <w:szCs w:val="24"/>
          </w:rPr>
          <w:t>(Redação dada pela Resolução n.º 139/2026)</w:t>
        </w:r>
      </w:hyperlink>
    </w:p>
    <w:p w14:paraId="00E0EC42" w14:textId="332335FA" w:rsidR="009F2A58" w:rsidRDefault="009F2A58" w:rsidP="000258EA">
      <w:pPr>
        <w:spacing w:before="120" w:after="0" w:line="240" w:lineRule="auto"/>
        <w:ind w:firstLine="1134"/>
        <w:jc w:val="both"/>
        <w:rPr>
          <w:rFonts w:ascii="Arial" w:hAnsi="Arial" w:cs="Arial"/>
          <w:sz w:val="24"/>
          <w:szCs w:val="24"/>
        </w:rPr>
      </w:pPr>
      <w:r w:rsidRPr="009F2A58">
        <w:rPr>
          <w:rFonts w:ascii="Arial" w:hAnsi="Arial" w:cs="Arial"/>
          <w:sz w:val="24"/>
          <w:szCs w:val="24"/>
        </w:rPr>
        <w:t xml:space="preserve">IV - </w:t>
      </w:r>
      <w:proofErr w:type="gramStart"/>
      <w:r w:rsidRPr="009F2A58">
        <w:rPr>
          <w:rFonts w:ascii="Arial" w:hAnsi="Arial" w:cs="Arial"/>
          <w:sz w:val="24"/>
          <w:szCs w:val="24"/>
        </w:rPr>
        <w:t>propor</w:t>
      </w:r>
      <w:proofErr w:type="gramEnd"/>
      <w:r w:rsidRPr="009F2A58">
        <w:rPr>
          <w:rFonts w:ascii="Arial" w:hAnsi="Arial" w:cs="Arial"/>
          <w:sz w:val="24"/>
          <w:szCs w:val="24"/>
        </w:rPr>
        <w:t xml:space="preserve"> eventuais ações corretivas;</w:t>
      </w:r>
      <w:r w:rsidR="00AF79F7">
        <w:rPr>
          <w:rFonts w:ascii="Arial" w:hAnsi="Arial" w:cs="Arial"/>
          <w:sz w:val="24"/>
          <w:szCs w:val="24"/>
        </w:rPr>
        <w:t xml:space="preserve"> </w:t>
      </w:r>
      <w:hyperlink r:id="rId28" w:history="1">
        <w:r w:rsidR="00AF79F7" w:rsidRPr="00872C23">
          <w:rPr>
            <w:rStyle w:val="Hyperlink"/>
            <w:rFonts w:ascii="Arial" w:hAnsi="Arial" w:cs="Arial"/>
            <w:sz w:val="24"/>
            <w:szCs w:val="24"/>
          </w:rPr>
          <w:t>(Redação dada pela Resolução n.º 139/2026)</w:t>
        </w:r>
      </w:hyperlink>
    </w:p>
    <w:p w14:paraId="297DD06A" w14:textId="230D3DD6" w:rsidR="009F2A58" w:rsidRDefault="009F2A58" w:rsidP="000258EA">
      <w:pPr>
        <w:spacing w:before="120" w:after="0" w:line="240" w:lineRule="auto"/>
        <w:ind w:firstLine="1134"/>
        <w:jc w:val="both"/>
        <w:rPr>
          <w:rFonts w:ascii="Arial" w:hAnsi="Arial" w:cs="Arial"/>
          <w:sz w:val="24"/>
          <w:szCs w:val="24"/>
        </w:rPr>
      </w:pPr>
      <w:r w:rsidRPr="009F2A58">
        <w:rPr>
          <w:rFonts w:ascii="Arial" w:hAnsi="Arial" w:cs="Arial"/>
          <w:sz w:val="24"/>
          <w:szCs w:val="24"/>
        </w:rPr>
        <w:t xml:space="preserve">V - </w:t>
      </w:r>
      <w:proofErr w:type="gramStart"/>
      <w:r w:rsidRPr="009F2A58">
        <w:rPr>
          <w:rFonts w:ascii="Arial" w:hAnsi="Arial" w:cs="Arial"/>
          <w:sz w:val="24"/>
          <w:szCs w:val="24"/>
        </w:rPr>
        <w:t>avaliar</w:t>
      </w:r>
      <w:proofErr w:type="gramEnd"/>
      <w:r w:rsidRPr="009F2A58">
        <w:rPr>
          <w:rFonts w:ascii="Arial" w:hAnsi="Arial" w:cs="Arial"/>
          <w:sz w:val="24"/>
          <w:szCs w:val="24"/>
        </w:rPr>
        <w:t xml:space="preserve"> e propor mudanças no Sistema de Gestão de Riscos do Tribunal;</w:t>
      </w:r>
      <w:r w:rsidR="00AF79F7">
        <w:rPr>
          <w:rFonts w:ascii="Arial" w:hAnsi="Arial" w:cs="Arial"/>
          <w:sz w:val="24"/>
          <w:szCs w:val="24"/>
        </w:rPr>
        <w:t xml:space="preserve"> </w:t>
      </w:r>
      <w:hyperlink r:id="rId29" w:history="1">
        <w:r w:rsidR="00AF79F7" w:rsidRPr="00872C23">
          <w:rPr>
            <w:rStyle w:val="Hyperlink"/>
            <w:rFonts w:ascii="Arial" w:hAnsi="Arial" w:cs="Arial"/>
            <w:sz w:val="24"/>
            <w:szCs w:val="24"/>
          </w:rPr>
          <w:t>(Redação dada pela Resolução n.º 139/2026)</w:t>
        </w:r>
      </w:hyperlink>
    </w:p>
    <w:p w14:paraId="2488E265" w14:textId="72689972" w:rsidR="009F2A58" w:rsidRDefault="009F2A58" w:rsidP="000258EA">
      <w:pPr>
        <w:spacing w:before="120" w:after="0" w:line="240" w:lineRule="auto"/>
        <w:ind w:firstLine="1134"/>
        <w:jc w:val="both"/>
        <w:rPr>
          <w:rFonts w:ascii="Arial" w:hAnsi="Arial" w:cs="Arial"/>
          <w:sz w:val="24"/>
          <w:szCs w:val="24"/>
        </w:rPr>
      </w:pPr>
      <w:r w:rsidRPr="009F2A58">
        <w:rPr>
          <w:rFonts w:ascii="Arial" w:hAnsi="Arial" w:cs="Arial"/>
          <w:sz w:val="24"/>
          <w:szCs w:val="24"/>
        </w:rPr>
        <w:t xml:space="preserve">VI - </w:t>
      </w:r>
      <w:proofErr w:type="gramStart"/>
      <w:r w:rsidRPr="009F2A58">
        <w:rPr>
          <w:rFonts w:ascii="Arial" w:hAnsi="Arial" w:cs="Arial"/>
          <w:sz w:val="24"/>
          <w:szCs w:val="24"/>
        </w:rPr>
        <w:t>levar</w:t>
      </w:r>
      <w:proofErr w:type="gramEnd"/>
      <w:r w:rsidRPr="009F2A58">
        <w:rPr>
          <w:rFonts w:ascii="Arial" w:hAnsi="Arial" w:cs="Arial"/>
          <w:sz w:val="24"/>
          <w:szCs w:val="24"/>
        </w:rPr>
        <w:t xml:space="preserve"> os resultados da gestão de riscos ao conhecimento do Presidente;</w:t>
      </w:r>
      <w:r w:rsidR="00AF79F7">
        <w:rPr>
          <w:rFonts w:ascii="Arial" w:hAnsi="Arial" w:cs="Arial"/>
          <w:sz w:val="24"/>
          <w:szCs w:val="24"/>
        </w:rPr>
        <w:t xml:space="preserve"> </w:t>
      </w:r>
      <w:hyperlink r:id="rId30" w:history="1">
        <w:r w:rsidR="00AF79F7" w:rsidRPr="00872C23">
          <w:rPr>
            <w:rStyle w:val="Hyperlink"/>
            <w:rFonts w:ascii="Arial" w:hAnsi="Arial" w:cs="Arial"/>
            <w:sz w:val="24"/>
            <w:szCs w:val="24"/>
          </w:rPr>
          <w:t>(Redação dada pela Resolução n.º 139/2026)</w:t>
        </w:r>
      </w:hyperlink>
    </w:p>
    <w:p w14:paraId="474D76A4" w14:textId="203121FA" w:rsidR="009F2A58" w:rsidRPr="009F2A58" w:rsidRDefault="009F2A58" w:rsidP="000258EA">
      <w:pPr>
        <w:spacing w:before="120" w:after="0" w:line="240" w:lineRule="auto"/>
        <w:ind w:firstLine="1134"/>
        <w:jc w:val="both"/>
        <w:rPr>
          <w:rFonts w:ascii="Arial" w:hAnsi="Arial" w:cs="Arial"/>
          <w:sz w:val="24"/>
          <w:szCs w:val="24"/>
        </w:rPr>
      </w:pPr>
      <w:r w:rsidRPr="009F2A58">
        <w:rPr>
          <w:rFonts w:ascii="Arial" w:hAnsi="Arial" w:cs="Arial"/>
          <w:sz w:val="24"/>
          <w:szCs w:val="24"/>
        </w:rPr>
        <w:t>VII - apoiar as ações que incentivem e promovam a cultura e capacitação em gestão de riscos.</w:t>
      </w:r>
      <w:r w:rsidR="00AF79F7">
        <w:rPr>
          <w:rFonts w:ascii="Arial" w:hAnsi="Arial" w:cs="Arial"/>
          <w:sz w:val="24"/>
          <w:szCs w:val="24"/>
        </w:rPr>
        <w:t xml:space="preserve"> </w:t>
      </w:r>
      <w:hyperlink r:id="rId31" w:history="1">
        <w:r w:rsidR="00AF79F7" w:rsidRPr="00872C23">
          <w:rPr>
            <w:rStyle w:val="Hyperlink"/>
            <w:rFonts w:ascii="Arial" w:hAnsi="Arial" w:cs="Arial"/>
            <w:sz w:val="24"/>
            <w:szCs w:val="24"/>
          </w:rPr>
          <w:t>(Redação dada pela Resolução n.º 139/2026)</w:t>
        </w:r>
      </w:hyperlink>
    </w:p>
    <w:bookmarkEnd w:id="8"/>
    <w:p w14:paraId="468110A3" w14:textId="77777777" w:rsidR="003546F5" w:rsidRDefault="003546F5" w:rsidP="000258EA">
      <w:pPr>
        <w:spacing w:before="120" w:after="0" w:line="240" w:lineRule="auto"/>
        <w:ind w:firstLine="1134"/>
        <w:jc w:val="both"/>
        <w:rPr>
          <w:rFonts w:ascii="Arial" w:hAnsi="Arial" w:cs="Arial"/>
          <w:strike/>
          <w:sz w:val="24"/>
          <w:szCs w:val="24"/>
        </w:rPr>
      </w:pPr>
      <w:r w:rsidRPr="00086CAD">
        <w:rPr>
          <w:rFonts w:ascii="Arial" w:hAnsi="Arial" w:cs="Arial"/>
          <w:strike/>
          <w:sz w:val="24"/>
          <w:szCs w:val="24"/>
        </w:rPr>
        <w:t xml:space="preserve">§ 4º O </w:t>
      </w:r>
      <w:bookmarkStart w:id="9" w:name="_Hlk6826075"/>
      <w:r w:rsidRPr="00086CAD">
        <w:rPr>
          <w:rFonts w:ascii="Arial" w:hAnsi="Arial" w:cs="Arial"/>
          <w:strike/>
          <w:sz w:val="24"/>
          <w:szCs w:val="24"/>
        </w:rPr>
        <w:t>Núcleo de Gestão de Riscos</w:t>
      </w:r>
      <w:bookmarkEnd w:id="9"/>
      <w:r w:rsidRPr="00086CAD">
        <w:rPr>
          <w:rFonts w:ascii="Arial" w:hAnsi="Arial" w:cs="Arial"/>
          <w:strike/>
          <w:sz w:val="24"/>
          <w:szCs w:val="24"/>
        </w:rPr>
        <w:t>, unidade vinculada à Presidência do TCE/PR, desempenhará o papel de unidade central de coordenação, supervisão e suporte do Processo de Gerenciamento de Riscos, avaliando e propondo mudanças no SGR, monitorando riscos-chave e oportunidades, propondo limites de exposição a riscos de abrangência institucional, apreciando planos de resposta preventivos e/ou contingenciais elaborados pelos gestores de risco e assessorando a Presidência e a Comissão de Gestão de Riscos.</w:t>
      </w:r>
    </w:p>
    <w:p w14:paraId="60682A89" w14:textId="77777777" w:rsidR="00086CAD" w:rsidRDefault="00086CAD" w:rsidP="00086CAD">
      <w:pPr>
        <w:pStyle w:val="ArtigosOrdinais"/>
        <w:tabs>
          <w:tab w:val="left" w:pos="708"/>
        </w:tabs>
        <w:ind w:firstLine="1134"/>
        <w:rPr>
          <w:strike/>
        </w:rPr>
      </w:pPr>
      <w:r w:rsidRPr="00F91E56">
        <w:rPr>
          <w:rFonts w:cs="Arial"/>
          <w:bCs w:val="0"/>
          <w:strike/>
          <w:sz w:val="24"/>
        </w:rPr>
        <w:t xml:space="preserve">§ 4º </w:t>
      </w:r>
      <w:r w:rsidRPr="00F91E56">
        <w:rPr>
          <w:rFonts w:cs="Arial"/>
          <w:strike/>
          <w:sz w:val="24"/>
        </w:rPr>
        <w:t xml:space="preserve">O Núcleo de Gestão de Riscos do Tribunal, subordinado à Secretaria de Governança, Planejamento e Gestão Estratégica, desempenha o papel de unidade central de coordenação, supervisão e suporte do Processo e Gerenciamento de Riscos, cabendo-lhe: </w:t>
      </w:r>
      <w:hyperlink r:id="rId32" w:history="1">
        <w:r w:rsidRPr="00F91E56">
          <w:rPr>
            <w:rStyle w:val="Hyperlink"/>
            <w:rFonts w:cs="Arial"/>
            <w:strike/>
            <w:sz w:val="24"/>
            <w:u w:val="none"/>
          </w:rPr>
          <w:t>(Redação dada pela Resolução n° 125/2025)</w:t>
        </w:r>
      </w:hyperlink>
    </w:p>
    <w:p w14:paraId="1734A423" w14:textId="77777777" w:rsidR="00086CAD" w:rsidRPr="00F91E56" w:rsidRDefault="00086CAD" w:rsidP="00086CAD">
      <w:pPr>
        <w:pStyle w:val="ArtigosOrdinais"/>
        <w:tabs>
          <w:tab w:val="left" w:pos="708"/>
        </w:tabs>
        <w:ind w:firstLine="1134"/>
        <w:rPr>
          <w:rFonts w:cs="Arial"/>
          <w:strike/>
          <w:sz w:val="24"/>
        </w:rPr>
      </w:pPr>
      <w:r w:rsidRPr="00F91E56">
        <w:rPr>
          <w:rFonts w:cs="Arial"/>
          <w:strike/>
          <w:sz w:val="24"/>
        </w:rPr>
        <w:t xml:space="preserve">I - </w:t>
      </w:r>
      <w:proofErr w:type="gramStart"/>
      <w:r w:rsidRPr="00F91E56">
        <w:rPr>
          <w:rFonts w:cs="Arial"/>
          <w:strike/>
          <w:sz w:val="24"/>
        </w:rPr>
        <w:t>avaliar</w:t>
      </w:r>
      <w:proofErr w:type="gramEnd"/>
      <w:r w:rsidRPr="00F91E56">
        <w:rPr>
          <w:rFonts w:cs="Arial"/>
          <w:strike/>
          <w:sz w:val="24"/>
        </w:rPr>
        <w:t xml:space="preserve"> e propor mudanças no Sistema de Gestão de Riscos do Tribunal; </w:t>
      </w:r>
      <w:r w:rsidRPr="00F91E56">
        <w:rPr>
          <w:rFonts w:cs="Arial"/>
          <w:strike/>
          <w:color w:val="0000FF"/>
          <w:sz w:val="24"/>
        </w:rPr>
        <w:t xml:space="preserve">(Incluído pela </w:t>
      </w:r>
      <w:hyperlink r:id="rId33" w:history="1">
        <w:r w:rsidRPr="00F91E56">
          <w:rPr>
            <w:rStyle w:val="Hyperlink"/>
            <w:rFonts w:cs="Arial"/>
            <w:strike/>
            <w:sz w:val="24"/>
            <w:u w:val="none"/>
          </w:rPr>
          <w:t>Resolução n. 84/2021</w:t>
        </w:r>
      </w:hyperlink>
      <w:r w:rsidRPr="00F91E56">
        <w:rPr>
          <w:rFonts w:cs="Arial"/>
          <w:strike/>
          <w:color w:val="0000FF"/>
          <w:sz w:val="24"/>
        </w:rPr>
        <w:t>)</w:t>
      </w:r>
    </w:p>
    <w:p w14:paraId="59898870" w14:textId="77777777" w:rsidR="00086CAD" w:rsidRPr="00F91E56" w:rsidRDefault="00086CAD" w:rsidP="00086CAD">
      <w:pPr>
        <w:pStyle w:val="ArtigosOrdinais"/>
        <w:tabs>
          <w:tab w:val="left" w:pos="708"/>
        </w:tabs>
        <w:ind w:firstLine="1134"/>
        <w:rPr>
          <w:rFonts w:cs="Arial"/>
          <w:strike/>
          <w:sz w:val="24"/>
        </w:rPr>
      </w:pPr>
      <w:r w:rsidRPr="00F91E56">
        <w:rPr>
          <w:rFonts w:cs="Arial"/>
          <w:strike/>
          <w:sz w:val="24"/>
        </w:rPr>
        <w:t xml:space="preserve">II - </w:t>
      </w:r>
      <w:proofErr w:type="gramStart"/>
      <w:r w:rsidRPr="00F91E56">
        <w:rPr>
          <w:rFonts w:cs="Arial"/>
          <w:strike/>
          <w:sz w:val="24"/>
        </w:rPr>
        <w:t>monitorar</w:t>
      </w:r>
      <w:proofErr w:type="gramEnd"/>
      <w:r w:rsidRPr="00F91E56">
        <w:rPr>
          <w:rFonts w:cs="Arial"/>
          <w:strike/>
          <w:sz w:val="24"/>
        </w:rPr>
        <w:t xml:space="preserve"> riscos-chaves e oportunidades; </w:t>
      </w:r>
      <w:r w:rsidRPr="00F91E56">
        <w:rPr>
          <w:rFonts w:cs="Arial"/>
          <w:strike/>
          <w:color w:val="0000FF"/>
          <w:sz w:val="24"/>
        </w:rPr>
        <w:t xml:space="preserve">(Incluído pela </w:t>
      </w:r>
      <w:hyperlink r:id="rId34" w:history="1">
        <w:r w:rsidRPr="00F91E56">
          <w:rPr>
            <w:rStyle w:val="Hyperlink"/>
            <w:rFonts w:cs="Arial"/>
            <w:strike/>
            <w:sz w:val="24"/>
            <w:u w:val="none"/>
          </w:rPr>
          <w:t>Resolução n. 84/2021</w:t>
        </w:r>
      </w:hyperlink>
      <w:r w:rsidRPr="00F91E56">
        <w:rPr>
          <w:rFonts w:cs="Arial"/>
          <w:strike/>
          <w:color w:val="0000FF"/>
          <w:sz w:val="24"/>
        </w:rPr>
        <w:t>)</w:t>
      </w:r>
    </w:p>
    <w:p w14:paraId="0C441399" w14:textId="77777777" w:rsidR="00086CAD" w:rsidRPr="00F91E56" w:rsidRDefault="00086CAD" w:rsidP="00086CAD">
      <w:pPr>
        <w:pStyle w:val="ArtigosOrdinais"/>
        <w:tabs>
          <w:tab w:val="left" w:pos="708"/>
        </w:tabs>
        <w:ind w:firstLine="1134"/>
        <w:rPr>
          <w:rFonts w:cs="Arial"/>
          <w:strike/>
          <w:sz w:val="24"/>
        </w:rPr>
      </w:pPr>
      <w:r w:rsidRPr="00F91E56">
        <w:rPr>
          <w:rFonts w:cs="Arial"/>
          <w:strike/>
          <w:sz w:val="24"/>
        </w:rPr>
        <w:lastRenderedPageBreak/>
        <w:t xml:space="preserve">III - propor limites de exposição a riscos de abrangência institucional; </w:t>
      </w:r>
      <w:r w:rsidRPr="00F91E56">
        <w:rPr>
          <w:rFonts w:cs="Arial"/>
          <w:strike/>
          <w:color w:val="0000FF"/>
          <w:sz w:val="24"/>
        </w:rPr>
        <w:t xml:space="preserve">(Incluído pela </w:t>
      </w:r>
      <w:hyperlink r:id="rId35" w:history="1">
        <w:r w:rsidRPr="00F91E56">
          <w:rPr>
            <w:rStyle w:val="Hyperlink"/>
            <w:rFonts w:cs="Arial"/>
            <w:strike/>
            <w:sz w:val="24"/>
            <w:u w:val="none"/>
          </w:rPr>
          <w:t>Resolução n. 84/2021</w:t>
        </w:r>
      </w:hyperlink>
      <w:r w:rsidRPr="00F91E56">
        <w:rPr>
          <w:rFonts w:cs="Arial"/>
          <w:strike/>
          <w:color w:val="0000FF"/>
          <w:sz w:val="24"/>
        </w:rPr>
        <w:t>)</w:t>
      </w:r>
    </w:p>
    <w:p w14:paraId="2AB07F11" w14:textId="77777777" w:rsidR="00086CAD" w:rsidRPr="00F91E56" w:rsidRDefault="00086CAD" w:rsidP="00086CAD">
      <w:pPr>
        <w:pStyle w:val="ArtigosOrdinais"/>
        <w:tabs>
          <w:tab w:val="left" w:pos="708"/>
        </w:tabs>
        <w:ind w:firstLine="1134"/>
        <w:rPr>
          <w:rFonts w:cs="Arial"/>
          <w:strike/>
          <w:sz w:val="24"/>
        </w:rPr>
      </w:pPr>
      <w:r w:rsidRPr="00F91E56">
        <w:rPr>
          <w:rFonts w:cs="Arial"/>
          <w:strike/>
          <w:sz w:val="24"/>
        </w:rPr>
        <w:t xml:space="preserve">IV - </w:t>
      </w:r>
      <w:proofErr w:type="gramStart"/>
      <w:r w:rsidRPr="00F91E56">
        <w:rPr>
          <w:rFonts w:cs="Arial"/>
          <w:strike/>
          <w:sz w:val="24"/>
        </w:rPr>
        <w:t>apreciar</w:t>
      </w:r>
      <w:proofErr w:type="gramEnd"/>
      <w:r w:rsidRPr="00F91E56">
        <w:rPr>
          <w:rFonts w:cs="Arial"/>
          <w:strike/>
          <w:sz w:val="24"/>
        </w:rPr>
        <w:t xml:space="preserve"> planos de resposta preventivos e/ou contingenciais elaborados pelos gestores de risco; e </w:t>
      </w:r>
      <w:r w:rsidRPr="00F91E56">
        <w:rPr>
          <w:rFonts w:cs="Arial"/>
          <w:strike/>
          <w:color w:val="0000FF"/>
          <w:sz w:val="24"/>
        </w:rPr>
        <w:t xml:space="preserve">(Incluído pela </w:t>
      </w:r>
      <w:hyperlink r:id="rId36" w:history="1">
        <w:r w:rsidRPr="00F91E56">
          <w:rPr>
            <w:rStyle w:val="Hyperlink"/>
            <w:rFonts w:cs="Arial"/>
            <w:strike/>
            <w:sz w:val="24"/>
            <w:u w:val="none"/>
          </w:rPr>
          <w:t>Resolução n. 84/2021</w:t>
        </w:r>
      </w:hyperlink>
      <w:r w:rsidRPr="00F91E56">
        <w:rPr>
          <w:rFonts w:cs="Arial"/>
          <w:strike/>
          <w:color w:val="0000FF"/>
          <w:sz w:val="24"/>
        </w:rPr>
        <w:t>)</w:t>
      </w:r>
    </w:p>
    <w:p w14:paraId="500788A4" w14:textId="77777777" w:rsidR="00086CAD" w:rsidRDefault="00086CAD" w:rsidP="00086CAD">
      <w:pPr>
        <w:spacing w:before="120" w:after="0" w:line="240" w:lineRule="auto"/>
        <w:ind w:firstLine="1134"/>
        <w:jc w:val="both"/>
        <w:rPr>
          <w:rFonts w:ascii="Arial" w:hAnsi="Arial" w:cs="Arial"/>
          <w:strike/>
          <w:color w:val="0000FF"/>
          <w:sz w:val="24"/>
          <w:szCs w:val="24"/>
        </w:rPr>
      </w:pPr>
      <w:r w:rsidRPr="00F91E56">
        <w:rPr>
          <w:rFonts w:ascii="Arial" w:hAnsi="Arial" w:cs="Arial"/>
          <w:strike/>
          <w:sz w:val="24"/>
          <w:szCs w:val="24"/>
        </w:rPr>
        <w:t xml:space="preserve">V - </w:t>
      </w:r>
      <w:proofErr w:type="gramStart"/>
      <w:r w:rsidRPr="00F91E56">
        <w:rPr>
          <w:rFonts w:ascii="Arial" w:hAnsi="Arial" w:cs="Arial"/>
          <w:strike/>
          <w:sz w:val="24"/>
          <w:szCs w:val="24"/>
        </w:rPr>
        <w:t>assessorar</w:t>
      </w:r>
      <w:proofErr w:type="gramEnd"/>
      <w:r w:rsidRPr="00F91E56">
        <w:rPr>
          <w:rFonts w:ascii="Arial" w:hAnsi="Arial" w:cs="Arial"/>
          <w:strike/>
          <w:sz w:val="24"/>
          <w:szCs w:val="24"/>
        </w:rPr>
        <w:t xml:space="preserve"> a Presidência e a Comissão de Riscos do Tribunal. </w:t>
      </w:r>
      <w:r w:rsidRPr="00F91E56">
        <w:rPr>
          <w:rFonts w:ascii="Arial" w:hAnsi="Arial" w:cs="Arial"/>
          <w:strike/>
          <w:color w:val="0000FF"/>
          <w:sz w:val="24"/>
          <w:szCs w:val="24"/>
        </w:rPr>
        <w:t>(</w:t>
      </w:r>
      <w:r w:rsidRPr="00F91E56">
        <w:rPr>
          <w:rFonts w:ascii="Arial" w:hAnsi="Arial" w:cs="Arial"/>
          <w:strike/>
          <w:color w:val="0000FF"/>
          <w:sz w:val="24"/>
        </w:rPr>
        <w:t>Incluído</w:t>
      </w:r>
      <w:r w:rsidRPr="00F91E56">
        <w:rPr>
          <w:rFonts w:ascii="Arial" w:hAnsi="Arial" w:cs="Arial"/>
          <w:strike/>
          <w:color w:val="0000FF"/>
          <w:sz w:val="24"/>
          <w:szCs w:val="24"/>
        </w:rPr>
        <w:t xml:space="preserve"> pela </w:t>
      </w:r>
      <w:hyperlink r:id="rId37" w:history="1">
        <w:r w:rsidRPr="00F91E56">
          <w:rPr>
            <w:rStyle w:val="Hyperlink"/>
            <w:rFonts w:ascii="Arial" w:hAnsi="Arial" w:cs="Arial"/>
            <w:strike/>
            <w:sz w:val="24"/>
            <w:szCs w:val="24"/>
            <w:u w:val="none"/>
          </w:rPr>
          <w:t>Resolução n. 84/2021</w:t>
        </w:r>
      </w:hyperlink>
      <w:r w:rsidRPr="00F91E56">
        <w:rPr>
          <w:rFonts w:ascii="Arial" w:hAnsi="Arial" w:cs="Arial"/>
          <w:strike/>
          <w:color w:val="0000FF"/>
          <w:sz w:val="24"/>
          <w:szCs w:val="24"/>
        </w:rPr>
        <w:t>)</w:t>
      </w:r>
    </w:p>
    <w:p w14:paraId="74612FEE" w14:textId="3DC54EFC" w:rsidR="00F91E56" w:rsidRPr="00F91E56" w:rsidRDefault="00F91E56" w:rsidP="00F91E56">
      <w:pPr>
        <w:pStyle w:val="ArtigosOrdinais"/>
        <w:tabs>
          <w:tab w:val="left" w:pos="708"/>
        </w:tabs>
        <w:ind w:firstLine="1134"/>
        <w:rPr>
          <w:strike/>
        </w:rPr>
      </w:pPr>
      <w:r w:rsidRPr="00F91E56">
        <w:t>§ 4º</w:t>
      </w:r>
      <w:r w:rsidRPr="00F91E56">
        <w:rPr>
          <w:rFonts w:cs="Arial"/>
          <w:sz w:val="24"/>
        </w:rPr>
        <w:t xml:space="preserve"> </w:t>
      </w:r>
      <w:hyperlink r:id="rId38" w:history="1">
        <w:r>
          <w:rPr>
            <w:rStyle w:val="Hyperlink"/>
            <w:rFonts w:cs="Arial"/>
            <w:sz w:val="24"/>
          </w:rPr>
          <w:t>(Revogado pela Resolução n.º 139/2026)</w:t>
        </w:r>
      </w:hyperlink>
    </w:p>
    <w:p w14:paraId="4C11D0C5" w14:textId="77777777" w:rsidR="003546F5" w:rsidRDefault="003546F5" w:rsidP="000258EA">
      <w:pPr>
        <w:spacing w:before="120" w:after="0" w:line="240" w:lineRule="auto"/>
        <w:ind w:firstLine="1134"/>
        <w:jc w:val="both"/>
        <w:rPr>
          <w:rFonts w:ascii="Arial" w:hAnsi="Arial" w:cs="Arial"/>
          <w:strike/>
          <w:sz w:val="24"/>
          <w:szCs w:val="24"/>
        </w:rPr>
      </w:pPr>
      <w:r w:rsidRPr="00AF79F7">
        <w:rPr>
          <w:rFonts w:ascii="Arial" w:hAnsi="Arial" w:cs="Arial"/>
          <w:strike/>
          <w:sz w:val="24"/>
          <w:szCs w:val="24"/>
        </w:rPr>
        <w:t>§ 5º Compete aos gestores de risco executar as atividades do Processo de Gerenciamento de Riscos para os objetos sob sua responsabilidade, propor alterações no SGR relacionados à sua área de atuação e prover informações ao Núcleo de Gestão de Riscos.</w:t>
      </w:r>
    </w:p>
    <w:p w14:paraId="212ED827" w14:textId="6F61CD7B" w:rsidR="00AF79F7" w:rsidRDefault="00AF79F7" w:rsidP="000258EA">
      <w:pPr>
        <w:spacing w:before="120" w:after="0" w:line="240" w:lineRule="auto"/>
        <w:ind w:firstLine="1134"/>
        <w:jc w:val="both"/>
        <w:rPr>
          <w:rFonts w:ascii="Arial" w:hAnsi="Arial" w:cs="Arial"/>
          <w:sz w:val="24"/>
          <w:szCs w:val="24"/>
        </w:rPr>
      </w:pPr>
      <w:r w:rsidRPr="00AF79F7">
        <w:rPr>
          <w:rFonts w:ascii="Arial" w:hAnsi="Arial" w:cs="Arial"/>
          <w:sz w:val="24"/>
          <w:szCs w:val="24"/>
        </w:rPr>
        <w:t>§ 5º Compete aos gestores de riscos quanto aos objetos sob suas responsabilidades:</w:t>
      </w:r>
      <w:r>
        <w:rPr>
          <w:rFonts w:ascii="Arial" w:hAnsi="Arial" w:cs="Arial"/>
          <w:sz w:val="24"/>
          <w:szCs w:val="24"/>
        </w:rPr>
        <w:t xml:space="preserve"> </w:t>
      </w:r>
      <w:hyperlink r:id="rId39" w:history="1">
        <w:r w:rsidRPr="00872C23">
          <w:rPr>
            <w:rStyle w:val="Hyperlink"/>
            <w:rFonts w:ascii="Arial" w:hAnsi="Arial" w:cs="Arial"/>
            <w:sz w:val="24"/>
            <w:szCs w:val="24"/>
          </w:rPr>
          <w:t>(Redação dada pela Resolução n.º 139/2026)</w:t>
        </w:r>
      </w:hyperlink>
    </w:p>
    <w:p w14:paraId="3AFD736A" w14:textId="3BD71837" w:rsidR="00AF79F7" w:rsidRDefault="00AF79F7" w:rsidP="000258EA">
      <w:pPr>
        <w:spacing w:before="120" w:after="0" w:line="240" w:lineRule="auto"/>
        <w:ind w:firstLine="1134"/>
        <w:jc w:val="both"/>
        <w:rPr>
          <w:rFonts w:ascii="Arial" w:hAnsi="Arial" w:cs="Arial"/>
          <w:sz w:val="24"/>
          <w:szCs w:val="24"/>
        </w:rPr>
      </w:pPr>
      <w:r w:rsidRPr="00AF79F7">
        <w:rPr>
          <w:rFonts w:ascii="Arial" w:hAnsi="Arial" w:cs="Arial"/>
          <w:sz w:val="24"/>
          <w:szCs w:val="24"/>
        </w:rPr>
        <w:t xml:space="preserve">I - </w:t>
      </w:r>
      <w:proofErr w:type="gramStart"/>
      <w:r w:rsidRPr="00AF79F7">
        <w:rPr>
          <w:rFonts w:ascii="Arial" w:hAnsi="Arial" w:cs="Arial"/>
          <w:sz w:val="24"/>
          <w:szCs w:val="24"/>
        </w:rPr>
        <w:t>executar</w:t>
      </w:r>
      <w:proofErr w:type="gramEnd"/>
      <w:r w:rsidRPr="00AF79F7">
        <w:rPr>
          <w:rFonts w:ascii="Arial" w:hAnsi="Arial" w:cs="Arial"/>
          <w:sz w:val="24"/>
          <w:szCs w:val="24"/>
        </w:rPr>
        <w:t xml:space="preserve"> as atividades do processo de gerenciamento de riscos e oportunidades;</w:t>
      </w:r>
      <w:r>
        <w:rPr>
          <w:rFonts w:ascii="Arial" w:hAnsi="Arial" w:cs="Arial"/>
          <w:sz w:val="24"/>
          <w:szCs w:val="24"/>
        </w:rPr>
        <w:t xml:space="preserve"> </w:t>
      </w:r>
      <w:hyperlink r:id="rId40" w:history="1">
        <w:r w:rsidRPr="00872C23">
          <w:rPr>
            <w:rStyle w:val="Hyperlink"/>
            <w:rFonts w:ascii="Arial" w:hAnsi="Arial" w:cs="Arial"/>
            <w:sz w:val="24"/>
            <w:szCs w:val="24"/>
          </w:rPr>
          <w:t>(Redação dada pela Resolução n.º 139/2026)</w:t>
        </w:r>
      </w:hyperlink>
    </w:p>
    <w:p w14:paraId="07D69AA1" w14:textId="4169B906" w:rsidR="00AF79F7" w:rsidRDefault="00AF79F7" w:rsidP="000258EA">
      <w:pPr>
        <w:spacing w:before="120" w:after="0" w:line="240" w:lineRule="auto"/>
        <w:ind w:firstLine="1134"/>
        <w:jc w:val="both"/>
        <w:rPr>
          <w:rFonts w:ascii="Arial" w:hAnsi="Arial" w:cs="Arial"/>
          <w:sz w:val="24"/>
          <w:szCs w:val="24"/>
        </w:rPr>
      </w:pPr>
      <w:r w:rsidRPr="00AF79F7">
        <w:rPr>
          <w:rFonts w:ascii="Arial" w:hAnsi="Arial" w:cs="Arial"/>
          <w:sz w:val="24"/>
          <w:szCs w:val="24"/>
        </w:rPr>
        <w:t xml:space="preserve">II - </w:t>
      </w:r>
      <w:proofErr w:type="gramStart"/>
      <w:r w:rsidRPr="00AF79F7">
        <w:rPr>
          <w:rFonts w:ascii="Arial" w:hAnsi="Arial" w:cs="Arial"/>
          <w:sz w:val="24"/>
          <w:szCs w:val="24"/>
        </w:rPr>
        <w:t>elaborar</w:t>
      </w:r>
      <w:proofErr w:type="gramEnd"/>
      <w:r w:rsidRPr="00AF79F7">
        <w:rPr>
          <w:rFonts w:ascii="Arial" w:hAnsi="Arial" w:cs="Arial"/>
          <w:sz w:val="24"/>
          <w:szCs w:val="24"/>
        </w:rPr>
        <w:t xml:space="preserve"> planos de resposta preventivos e/ou contingenciais;</w:t>
      </w:r>
      <w:r>
        <w:rPr>
          <w:rFonts w:ascii="Arial" w:hAnsi="Arial" w:cs="Arial"/>
          <w:sz w:val="24"/>
          <w:szCs w:val="24"/>
        </w:rPr>
        <w:t xml:space="preserve"> </w:t>
      </w:r>
      <w:hyperlink r:id="rId41" w:history="1">
        <w:r w:rsidRPr="00872C23">
          <w:rPr>
            <w:rStyle w:val="Hyperlink"/>
            <w:rFonts w:ascii="Arial" w:hAnsi="Arial" w:cs="Arial"/>
            <w:sz w:val="24"/>
            <w:szCs w:val="24"/>
          </w:rPr>
          <w:t>(Redação dada pela Resolução n.º 139/2026)</w:t>
        </w:r>
      </w:hyperlink>
    </w:p>
    <w:p w14:paraId="2F798307" w14:textId="6BDB5EB3" w:rsidR="00AF79F7" w:rsidRDefault="00AF79F7" w:rsidP="000258EA">
      <w:pPr>
        <w:spacing w:before="120" w:after="0" w:line="240" w:lineRule="auto"/>
        <w:ind w:firstLine="1134"/>
        <w:jc w:val="both"/>
        <w:rPr>
          <w:rFonts w:ascii="Arial" w:hAnsi="Arial" w:cs="Arial"/>
          <w:sz w:val="24"/>
          <w:szCs w:val="24"/>
        </w:rPr>
      </w:pPr>
      <w:r w:rsidRPr="00AF79F7">
        <w:rPr>
          <w:rFonts w:ascii="Arial" w:hAnsi="Arial" w:cs="Arial"/>
          <w:sz w:val="24"/>
          <w:szCs w:val="24"/>
        </w:rPr>
        <w:t>III - comunicar os riscos-chave identificados, acompanhados dos respectivos planos de resposta;</w:t>
      </w:r>
      <w:r>
        <w:rPr>
          <w:rFonts w:ascii="Arial" w:hAnsi="Arial" w:cs="Arial"/>
          <w:sz w:val="24"/>
          <w:szCs w:val="24"/>
        </w:rPr>
        <w:t xml:space="preserve"> </w:t>
      </w:r>
      <w:hyperlink r:id="rId42" w:history="1">
        <w:r w:rsidRPr="00872C23">
          <w:rPr>
            <w:rStyle w:val="Hyperlink"/>
            <w:rFonts w:ascii="Arial" w:hAnsi="Arial" w:cs="Arial"/>
            <w:sz w:val="24"/>
            <w:szCs w:val="24"/>
          </w:rPr>
          <w:t>(Redação dada pela Resolução n.º 139/2026)</w:t>
        </w:r>
      </w:hyperlink>
    </w:p>
    <w:p w14:paraId="538E82C0" w14:textId="24EFDBB9" w:rsidR="00AF79F7" w:rsidRDefault="00AF79F7" w:rsidP="000258EA">
      <w:pPr>
        <w:spacing w:before="120" w:after="0" w:line="240" w:lineRule="auto"/>
        <w:ind w:firstLine="1134"/>
        <w:jc w:val="both"/>
        <w:rPr>
          <w:rFonts w:ascii="Arial" w:hAnsi="Arial" w:cs="Arial"/>
          <w:sz w:val="24"/>
          <w:szCs w:val="24"/>
        </w:rPr>
      </w:pPr>
      <w:r w:rsidRPr="00AF79F7">
        <w:rPr>
          <w:rFonts w:ascii="Arial" w:hAnsi="Arial" w:cs="Arial"/>
          <w:sz w:val="24"/>
          <w:szCs w:val="24"/>
        </w:rPr>
        <w:t xml:space="preserve">IV - </w:t>
      </w:r>
      <w:proofErr w:type="gramStart"/>
      <w:r w:rsidRPr="00AF79F7">
        <w:rPr>
          <w:rFonts w:ascii="Arial" w:hAnsi="Arial" w:cs="Arial"/>
          <w:sz w:val="24"/>
          <w:szCs w:val="24"/>
        </w:rPr>
        <w:t>monitorar</w:t>
      </w:r>
      <w:proofErr w:type="gramEnd"/>
      <w:r w:rsidRPr="00AF79F7">
        <w:rPr>
          <w:rFonts w:ascii="Arial" w:hAnsi="Arial" w:cs="Arial"/>
          <w:sz w:val="24"/>
          <w:szCs w:val="24"/>
        </w:rPr>
        <w:t xml:space="preserve"> os riscos-chave;</w:t>
      </w:r>
      <w:r>
        <w:rPr>
          <w:rFonts w:ascii="Arial" w:hAnsi="Arial" w:cs="Arial"/>
          <w:sz w:val="24"/>
          <w:szCs w:val="24"/>
        </w:rPr>
        <w:t xml:space="preserve"> </w:t>
      </w:r>
      <w:hyperlink r:id="rId43" w:history="1">
        <w:r w:rsidRPr="00872C23">
          <w:rPr>
            <w:rStyle w:val="Hyperlink"/>
            <w:rFonts w:ascii="Arial" w:hAnsi="Arial" w:cs="Arial"/>
            <w:sz w:val="24"/>
            <w:szCs w:val="24"/>
          </w:rPr>
          <w:t>(Redação dada pela Resolução n.º 139/2026)</w:t>
        </w:r>
      </w:hyperlink>
    </w:p>
    <w:p w14:paraId="1DBECF45" w14:textId="76417351" w:rsidR="00AF79F7" w:rsidRPr="00AF79F7" w:rsidRDefault="00AF79F7" w:rsidP="000258EA">
      <w:pPr>
        <w:spacing w:before="120" w:after="0" w:line="240" w:lineRule="auto"/>
        <w:ind w:firstLine="1134"/>
        <w:jc w:val="both"/>
        <w:rPr>
          <w:rFonts w:ascii="Arial" w:hAnsi="Arial" w:cs="Arial"/>
          <w:sz w:val="24"/>
          <w:szCs w:val="24"/>
        </w:rPr>
      </w:pPr>
      <w:r w:rsidRPr="00AF79F7">
        <w:rPr>
          <w:rFonts w:ascii="Arial" w:hAnsi="Arial" w:cs="Arial"/>
          <w:sz w:val="24"/>
          <w:szCs w:val="24"/>
        </w:rPr>
        <w:t xml:space="preserve">V - </w:t>
      </w:r>
      <w:proofErr w:type="gramStart"/>
      <w:r w:rsidRPr="00AF79F7">
        <w:rPr>
          <w:rFonts w:ascii="Arial" w:hAnsi="Arial" w:cs="Arial"/>
          <w:sz w:val="24"/>
          <w:szCs w:val="24"/>
        </w:rPr>
        <w:t>propor</w:t>
      </w:r>
      <w:proofErr w:type="gramEnd"/>
      <w:r w:rsidRPr="00AF79F7">
        <w:rPr>
          <w:rFonts w:ascii="Arial" w:hAnsi="Arial" w:cs="Arial"/>
          <w:sz w:val="24"/>
          <w:szCs w:val="24"/>
        </w:rPr>
        <w:t xml:space="preserve"> à Secretaria de Governança, Planejamento e Gestão Estratégica alterações no Sistema de Gestão de Riscos.</w:t>
      </w:r>
      <w:r>
        <w:rPr>
          <w:rFonts w:ascii="Arial" w:hAnsi="Arial" w:cs="Arial"/>
          <w:sz w:val="24"/>
          <w:szCs w:val="24"/>
        </w:rPr>
        <w:t xml:space="preserve"> </w:t>
      </w:r>
      <w:hyperlink r:id="rId44" w:history="1">
        <w:r w:rsidRPr="00872C23">
          <w:rPr>
            <w:rStyle w:val="Hyperlink"/>
            <w:rFonts w:ascii="Arial" w:hAnsi="Arial" w:cs="Arial"/>
            <w:sz w:val="24"/>
            <w:szCs w:val="24"/>
          </w:rPr>
          <w:t>(Redação dada pela Resolução n.º 139/2026)</w:t>
        </w:r>
      </w:hyperlink>
    </w:p>
    <w:p w14:paraId="6283038F" w14:textId="77777777" w:rsidR="003546F5" w:rsidRDefault="003546F5" w:rsidP="000258EA">
      <w:pPr>
        <w:spacing w:before="120" w:after="0" w:line="240" w:lineRule="auto"/>
        <w:ind w:firstLine="1134"/>
        <w:jc w:val="both"/>
        <w:rPr>
          <w:rFonts w:ascii="Arial" w:hAnsi="Arial" w:cs="Arial"/>
          <w:strike/>
          <w:sz w:val="24"/>
          <w:szCs w:val="24"/>
        </w:rPr>
      </w:pPr>
      <w:r w:rsidRPr="00AF79F7">
        <w:rPr>
          <w:rFonts w:ascii="Arial" w:hAnsi="Arial" w:cs="Arial"/>
          <w:strike/>
          <w:sz w:val="24"/>
          <w:szCs w:val="24"/>
        </w:rPr>
        <w:t>§ 6º Compete à Controladoria Interna do TCE/PR, nos termos do art.</w:t>
      </w:r>
      <w:r w:rsidR="006907DC" w:rsidRPr="00AF79F7">
        <w:rPr>
          <w:rFonts w:ascii="Arial" w:hAnsi="Arial" w:cs="Arial"/>
          <w:strike/>
          <w:sz w:val="24"/>
          <w:szCs w:val="24"/>
        </w:rPr>
        <w:t xml:space="preserve"> </w:t>
      </w:r>
      <w:r w:rsidRPr="00AF79F7">
        <w:rPr>
          <w:rFonts w:ascii="Arial" w:hAnsi="Arial" w:cs="Arial"/>
          <w:strike/>
          <w:sz w:val="24"/>
          <w:szCs w:val="24"/>
        </w:rPr>
        <w:t>175-B do Regimento Interno, avaliar o Sistema de Gestão de Riscos quanto à adequação e suficiência dos mecanismos e controles estabelecidos, eficácia da gestão de oportunidades, riscos-chave, e conformidade das atividades executadas à política de Gestão de Riscos, assim como realizar a auditoria interna no Sistema de Gestão de Riscos.</w:t>
      </w:r>
    </w:p>
    <w:p w14:paraId="1F161281" w14:textId="180A5E34" w:rsidR="00AF79F7" w:rsidRPr="00AF79F7" w:rsidRDefault="00AF79F7" w:rsidP="000258EA">
      <w:pPr>
        <w:spacing w:before="120" w:after="0" w:line="240" w:lineRule="auto"/>
        <w:ind w:firstLine="1134"/>
        <w:jc w:val="both"/>
        <w:rPr>
          <w:rFonts w:ascii="Arial" w:hAnsi="Arial" w:cs="Arial"/>
          <w:sz w:val="24"/>
          <w:szCs w:val="24"/>
        </w:rPr>
      </w:pPr>
      <w:r w:rsidRPr="00AF79F7">
        <w:rPr>
          <w:rFonts w:ascii="Arial" w:hAnsi="Arial" w:cs="Arial"/>
          <w:sz w:val="24"/>
          <w:szCs w:val="24"/>
        </w:rPr>
        <w:t>§ 6º Compete à Controladoria Interna:</w:t>
      </w:r>
      <w:r>
        <w:rPr>
          <w:rFonts w:ascii="Arial" w:hAnsi="Arial" w:cs="Arial"/>
          <w:sz w:val="24"/>
          <w:szCs w:val="24"/>
        </w:rPr>
        <w:t xml:space="preserve"> </w:t>
      </w:r>
      <w:hyperlink r:id="rId45" w:history="1">
        <w:r w:rsidRPr="00872C23">
          <w:rPr>
            <w:rStyle w:val="Hyperlink"/>
            <w:rFonts w:ascii="Arial" w:hAnsi="Arial" w:cs="Arial"/>
            <w:sz w:val="24"/>
            <w:szCs w:val="24"/>
          </w:rPr>
          <w:t>(Redação dada pela Resolução n.º 139/2026)</w:t>
        </w:r>
      </w:hyperlink>
    </w:p>
    <w:p w14:paraId="021CA060" w14:textId="251B23B6" w:rsidR="00AF79F7" w:rsidRPr="00AF79F7" w:rsidRDefault="00AF79F7" w:rsidP="000258EA">
      <w:pPr>
        <w:spacing w:before="120" w:after="0" w:line="240" w:lineRule="auto"/>
        <w:ind w:firstLine="1134"/>
        <w:jc w:val="both"/>
        <w:rPr>
          <w:rFonts w:ascii="Arial" w:hAnsi="Arial" w:cs="Arial"/>
          <w:sz w:val="24"/>
          <w:szCs w:val="24"/>
        </w:rPr>
      </w:pPr>
      <w:r w:rsidRPr="00AF79F7">
        <w:rPr>
          <w:rFonts w:ascii="Arial" w:hAnsi="Arial" w:cs="Arial"/>
          <w:sz w:val="24"/>
          <w:szCs w:val="24"/>
        </w:rPr>
        <w:t xml:space="preserve">I - </w:t>
      </w:r>
      <w:proofErr w:type="gramStart"/>
      <w:r w:rsidRPr="00AF79F7">
        <w:rPr>
          <w:rFonts w:ascii="Arial" w:hAnsi="Arial" w:cs="Arial"/>
          <w:sz w:val="24"/>
          <w:szCs w:val="24"/>
        </w:rPr>
        <w:t>monitorar</w:t>
      </w:r>
      <w:proofErr w:type="gramEnd"/>
      <w:r w:rsidRPr="00AF79F7">
        <w:rPr>
          <w:rFonts w:ascii="Arial" w:hAnsi="Arial" w:cs="Arial"/>
          <w:sz w:val="24"/>
          <w:szCs w:val="24"/>
        </w:rPr>
        <w:t xml:space="preserve"> o Sistema de Gestão de Riscos quanto à sua implementação, aderência metodológica e alinhamento à política de gestão de riscos, no âmbito da atuação em segunda linha;</w:t>
      </w:r>
      <w:r>
        <w:rPr>
          <w:rFonts w:ascii="Arial" w:hAnsi="Arial" w:cs="Arial"/>
          <w:sz w:val="24"/>
          <w:szCs w:val="24"/>
        </w:rPr>
        <w:t xml:space="preserve"> </w:t>
      </w:r>
      <w:hyperlink r:id="rId46" w:history="1">
        <w:r w:rsidRPr="00872C23">
          <w:rPr>
            <w:rStyle w:val="Hyperlink"/>
            <w:rFonts w:ascii="Arial" w:hAnsi="Arial" w:cs="Arial"/>
            <w:sz w:val="24"/>
            <w:szCs w:val="24"/>
          </w:rPr>
          <w:t>(Redação dada pela Resolução n.º 139/2026)</w:t>
        </w:r>
      </w:hyperlink>
    </w:p>
    <w:p w14:paraId="56CECADA" w14:textId="32E0C512" w:rsidR="00AF79F7" w:rsidRDefault="00AF79F7" w:rsidP="000258EA">
      <w:pPr>
        <w:spacing w:before="120" w:after="0" w:line="240" w:lineRule="auto"/>
        <w:ind w:firstLine="1134"/>
        <w:jc w:val="both"/>
        <w:rPr>
          <w:rFonts w:ascii="Arial" w:hAnsi="Arial" w:cs="Arial"/>
          <w:sz w:val="24"/>
          <w:szCs w:val="24"/>
        </w:rPr>
      </w:pPr>
      <w:r w:rsidRPr="00AF79F7">
        <w:rPr>
          <w:rFonts w:ascii="Arial" w:hAnsi="Arial" w:cs="Arial"/>
          <w:sz w:val="24"/>
          <w:szCs w:val="24"/>
        </w:rPr>
        <w:t xml:space="preserve">II - </w:t>
      </w:r>
      <w:proofErr w:type="gramStart"/>
      <w:r w:rsidRPr="00AF79F7">
        <w:rPr>
          <w:rFonts w:ascii="Arial" w:hAnsi="Arial" w:cs="Arial"/>
          <w:sz w:val="24"/>
          <w:szCs w:val="24"/>
        </w:rPr>
        <w:t>exercer</w:t>
      </w:r>
      <w:proofErr w:type="gramEnd"/>
      <w:r w:rsidRPr="00AF79F7">
        <w:rPr>
          <w:rFonts w:ascii="Arial" w:hAnsi="Arial" w:cs="Arial"/>
          <w:sz w:val="24"/>
          <w:szCs w:val="24"/>
        </w:rPr>
        <w:t>, no âmbito das atribuições de auditoria interna, avaliação independente e objetiva do Sistema de Gestão de Riscos.</w:t>
      </w:r>
      <w:r>
        <w:rPr>
          <w:rFonts w:ascii="Arial" w:hAnsi="Arial" w:cs="Arial"/>
          <w:sz w:val="24"/>
          <w:szCs w:val="24"/>
        </w:rPr>
        <w:t xml:space="preserve"> </w:t>
      </w:r>
      <w:hyperlink r:id="rId47" w:history="1">
        <w:r w:rsidRPr="00872C23">
          <w:rPr>
            <w:rStyle w:val="Hyperlink"/>
            <w:rFonts w:ascii="Arial" w:hAnsi="Arial" w:cs="Arial"/>
            <w:sz w:val="24"/>
            <w:szCs w:val="24"/>
          </w:rPr>
          <w:t>(Redação dada pela Resolução n.º 139/2026)</w:t>
        </w:r>
      </w:hyperlink>
    </w:p>
    <w:p w14:paraId="27B27F42" w14:textId="34AEDA1C"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sz w:val="24"/>
          <w:szCs w:val="24"/>
        </w:rPr>
        <w:t>§ 7º Compete à Secretaria de Governança, Planejamento e Gestão Estratégica no papel de unidade central do Sistema de Gestão de Riscos:</w:t>
      </w:r>
      <w:r>
        <w:rPr>
          <w:rFonts w:ascii="Arial" w:hAnsi="Arial" w:cs="Arial"/>
          <w:sz w:val="24"/>
          <w:szCs w:val="24"/>
        </w:rPr>
        <w:t xml:space="preserve"> </w:t>
      </w:r>
      <w:hyperlink r:id="rId48" w:history="1">
        <w:r>
          <w:rPr>
            <w:rStyle w:val="Hyperlink"/>
            <w:rFonts w:ascii="Arial" w:hAnsi="Arial" w:cs="Arial"/>
            <w:sz w:val="24"/>
            <w:szCs w:val="24"/>
          </w:rPr>
          <w:t>(Incluído pela Resolução n.º 139/2026)</w:t>
        </w:r>
      </w:hyperlink>
    </w:p>
    <w:p w14:paraId="34A3204D" w14:textId="0E39D931"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sz w:val="24"/>
          <w:szCs w:val="24"/>
        </w:rPr>
        <w:t xml:space="preserve">I - </w:t>
      </w:r>
      <w:proofErr w:type="gramStart"/>
      <w:r w:rsidRPr="007B635A">
        <w:rPr>
          <w:rFonts w:ascii="Arial" w:hAnsi="Arial" w:cs="Arial"/>
          <w:sz w:val="24"/>
          <w:szCs w:val="24"/>
        </w:rPr>
        <w:t>supervisionar</w:t>
      </w:r>
      <w:proofErr w:type="gramEnd"/>
      <w:r w:rsidRPr="007B635A">
        <w:rPr>
          <w:rFonts w:ascii="Arial" w:hAnsi="Arial" w:cs="Arial"/>
          <w:sz w:val="24"/>
          <w:szCs w:val="24"/>
        </w:rPr>
        <w:t xml:space="preserve"> o processo de gestão de riscos do Tribunal;</w:t>
      </w:r>
      <w:r>
        <w:rPr>
          <w:rFonts w:ascii="Arial" w:hAnsi="Arial" w:cs="Arial"/>
          <w:sz w:val="24"/>
          <w:szCs w:val="24"/>
        </w:rPr>
        <w:t xml:space="preserve"> </w:t>
      </w:r>
      <w:hyperlink r:id="rId49" w:history="1">
        <w:r>
          <w:rPr>
            <w:rStyle w:val="Hyperlink"/>
            <w:rFonts w:ascii="Arial" w:hAnsi="Arial" w:cs="Arial"/>
            <w:sz w:val="24"/>
            <w:szCs w:val="24"/>
          </w:rPr>
          <w:t>(Incluído pela Resolução n.º 139/2026)</w:t>
        </w:r>
      </w:hyperlink>
    </w:p>
    <w:p w14:paraId="4348C9C6" w14:textId="35CF50DE"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sz w:val="24"/>
          <w:szCs w:val="24"/>
        </w:rPr>
        <w:lastRenderedPageBreak/>
        <w:t xml:space="preserve">II - </w:t>
      </w:r>
      <w:proofErr w:type="gramStart"/>
      <w:r w:rsidRPr="007B635A">
        <w:rPr>
          <w:rFonts w:ascii="Arial" w:hAnsi="Arial" w:cs="Arial"/>
          <w:sz w:val="24"/>
          <w:szCs w:val="24"/>
        </w:rPr>
        <w:t>consolidar</w:t>
      </w:r>
      <w:proofErr w:type="gramEnd"/>
      <w:r w:rsidRPr="007B635A">
        <w:rPr>
          <w:rFonts w:ascii="Arial" w:hAnsi="Arial" w:cs="Arial"/>
          <w:sz w:val="24"/>
          <w:szCs w:val="24"/>
        </w:rPr>
        <w:t xml:space="preserve"> os riscos-chave informados pelos gestores de riscos e os respectivos planos de resposta;</w:t>
      </w:r>
      <w:r>
        <w:rPr>
          <w:rFonts w:ascii="Arial" w:hAnsi="Arial" w:cs="Arial"/>
          <w:sz w:val="24"/>
          <w:szCs w:val="24"/>
        </w:rPr>
        <w:t xml:space="preserve"> </w:t>
      </w:r>
      <w:hyperlink r:id="rId50" w:history="1">
        <w:r>
          <w:rPr>
            <w:rStyle w:val="Hyperlink"/>
            <w:rFonts w:ascii="Arial" w:hAnsi="Arial" w:cs="Arial"/>
            <w:sz w:val="24"/>
            <w:szCs w:val="24"/>
          </w:rPr>
          <w:t>(Incluído pela Resolução n.º 139/2026)</w:t>
        </w:r>
      </w:hyperlink>
    </w:p>
    <w:p w14:paraId="3DA2CE79" w14:textId="4ECBBE5F"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sz w:val="24"/>
          <w:szCs w:val="24"/>
        </w:rPr>
        <w:t>III – presidir a Comissão de Gestão de Riscos, por intermédio de seu Secretário, provendo-a das informações necessárias à tomada de decisões;</w:t>
      </w:r>
      <w:r>
        <w:rPr>
          <w:rFonts w:ascii="Arial" w:hAnsi="Arial" w:cs="Arial"/>
          <w:sz w:val="24"/>
          <w:szCs w:val="24"/>
        </w:rPr>
        <w:t xml:space="preserve"> </w:t>
      </w:r>
      <w:hyperlink r:id="rId51" w:history="1">
        <w:r>
          <w:rPr>
            <w:rStyle w:val="Hyperlink"/>
            <w:rFonts w:ascii="Arial" w:hAnsi="Arial" w:cs="Arial"/>
            <w:sz w:val="24"/>
            <w:szCs w:val="24"/>
          </w:rPr>
          <w:t>(Incluído pela Resolução n.º 139/2026)</w:t>
        </w:r>
      </w:hyperlink>
    </w:p>
    <w:p w14:paraId="30DF109B" w14:textId="02799122"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sz w:val="24"/>
          <w:szCs w:val="24"/>
        </w:rPr>
        <w:t xml:space="preserve">IV - </w:t>
      </w:r>
      <w:proofErr w:type="gramStart"/>
      <w:r w:rsidRPr="007B635A">
        <w:rPr>
          <w:rFonts w:ascii="Arial" w:hAnsi="Arial" w:cs="Arial"/>
          <w:sz w:val="24"/>
          <w:szCs w:val="24"/>
        </w:rPr>
        <w:t>assessorar</w:t>
      </w:r>
      <w:proofErr w:type="gramEnd"/>
      <w:r w:rsidRPr="007B635A">
        <w:rPr>
          <w:rFonts w:ascii="Arial" w:hAnsi="Arial" w:cs="Arial"/>
          <w:sz w:val="24"/>
          <w:szCs w:val="24"/>
        </w:rPr>
        <w:t xml:space="preserve"> o Presidente nas matérias relacionadas com a gestão de riscos;</w:t>
      </w:r>
      <w:r>
        <w:rPr>
          <w:rFonts w:ascii="Arial" w:hAnsi="Arial" w:cs="Arial"/>
          <w:sz w:val="24"/>
          <w:szCs w:val="24"/>
        </w:rPr>
        <w:t xml:space="preserve"> </w:t>
      </w:r>
      <w:hyperlink r:id="rId52" w:history="1">
        <w:r>
          <w:rPr>
            <w:rStyle w:val="Hyperlink"/>
            <w:rFonts w:ascii="Arial" w:hAnsi="Arial" w:cs="Arial"/>
            <w:sz w:val="24"/>
            <w:szCs w:val="24"/>
          </w:rPr>
          <w:t>(Incluído pela Resolução n.º 139/2026)</w:t>
        </w:r>
      </w:hyperlink>
    </w:p>
    <w:p w14:paraId="04EB508E" w14:textId="74A9F5AC"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sz w:val="24"/>
          <w:szCs w:val="24"/>
        </w:rPr>
        <w:t xml:space="preserve">V - </w:t>
      </w:r>
      <w:proofErr w:type="gramStart"/>
      <w:r w:rsidRPr="007B635A">
        <w:rPr>
          <w:rFonts w:ascii="Arial" w:hAnsi="Arial" w:cs="Arial"/>
          <w:sz w:val="24"/>
          <w:szCs w:val="24"/>
        </w:rPr>
        <w:t>propor</w:t>
      </w:r>
      <w:proofErr w:type="gramEnd"/>
      <w:r w:rsidRPr="007B635A">
        <w:rPr>
          <w:rFonts w:ascii="Arial" w:hAnsi="Arial" w:cs="Arial"/>
          <w:sz w:val="24"/>
          <w:szCs w:val="24"/>
        </w:rPr>
        <w:t xml:space="preserve"> ações de sensibilização e capacitação em gestão de riscos;</w:t>
      </w:r>
      <w:r>
        <w:rPr>
          <w:rFonts w:ascii="Arial" w:hAnsi="Arial" w:cs="Arial"/>
          <w:sz w:val="24"/>
          <w:szCs w:val="24"/>
        </w:rPr>
        <w:t xml:space="preserve"> </w:t>
      </w:r>
      <w:hyperlink r:id="rId53" w:history="1">
        <w:r>
          <w:rPr>
            <w:rStyle w:val="Hyperlink"/>
            <w:rFonts w:ascii="Arial" w:hAnsi="Arial" w:cs="Arial"/>
            <w:sz w:val="24"/>
            <w:szCs w:val="24"/>
          </w:rPr>
          <w:t>(Incluído pela Resolução n.º 139/2026)</w:t>
        </w:r>
      </w:hyperlink>
    </w:p>
    <w:p w14:paraId="493C4A0E" w14:textId="146F6914"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sz w:val="24"/>
          <w:szCs w:val="24"/>
        </w:rPr>
        <w:t xml:space="preserve">VI - </w:t>
      </w:r>
      <w:proofErr w:type="gramStart"/>
      <w:r w:rsidRPr="007B635A">
        <w:rPr>
          <w:rFonts w:ascii="Arial" w:hAnsi="Arial" w:cs="Arial"/>
          <w:sz w:val="24"/>
          <w:szCs w:val="24"/>
        </w:rPr>
        <w:t>propor</w:t>
      </w:r>
      <w:proofErr w:type="gramEnd"/>
      <w:r w:rsidRPr="007B635A">
        <w:rPr>
          <w:rFonts w:ascii="Arial" w:hAnsi="Arial" w:cs="Arial"/>
          <w:sz w:val="24"/>
          <w:szCs w:val="24"/>
        </w:rPr>
        <w:t xml:space="preserve"> mudanças no Sistema de Gestão de Riscos do Tribunal;</w:t>
      </w:r>
      <w:r>
        <w:rPr>
          <w:rFonts w:ascii="Arial" w:hAnsi="Arial" w:cs="Arial"/>
          <w:sz w:val="24"/>
          <w:szCs w:val="24"/>
        </w:rPr>
        <w:t xml:space="preserve"> </w:t>
      </w:r>
      <w:hyperlink r:id="rId54" w:history="1">
        <w:r>
          <w:rPr>
            <w:rStyle w:val="Hyperlink"/>
            <w:rFonts w:ascii="Arial" w:hAnsi="Arial" w:cs="Arial"/>
            <w:sz w:val="24"/>
            <w:szCs w:val="24"/>
          </w:rPr>
          <w:t>(Incluído pela Resolução n.º 139/2026)</w:t>
        </w:r>
      </w:hyperlink>
    </w:p>
    <w:p w14:paraId="55685837" w14:textId="6A7AA0D6"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sz w:val="24"/>
          <w:szCs w:val="24"/>
        </w:rPr>
        <w:t>VII - elaborar o Manual de Gestão de Riscos e promover atualizações;</w:t>
      </w:r>
      <w:r>
        <w:rPr>
          <w:rFonts w:ascii="Arial" w:hAnsi="Arial" w:cs="Arial"/>
          <w:sz w:val="24"/>
          <w:szCs w:val="24"/>
        </w:rPr>
        <w:t xml:space="preserve"> </w:t>
      </w:r>
      <w:hyperlink r:id="rId55" w:history="1">
        <w:r>
          <w:rPr>
            <w:rStyle w:val="Hyperlink"/>
            <w:rFonts w:ascii="Arial" w:hAnsi="Arial" w:cs="Arial"/>
            <w:sz w:val="24"/>
            <w:szCs w:val="24"/>
          </w:rPr>
          <w:t>(Incluído pela Resolução n.º 139/2026)</w:t>
        </w:r>
      </w:hyperlink>
    </w:p>
    <w:p w14:paraId="5FCA620B" w14:textId="29E32C1A"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sz w:val="24"/>
          <w:szCs w:val="24"/>
        </w:rPr>
        <w:t>VIII - orientar os gestores de riscos quanto à aplicação da metodologia de gestão de riscos.</w:t>
      </w:r>
      <w:r>
        <w:rPr>
          <w:rFonts w:ascii="Arial" w:hAnsi="Arial" w:cs="Arial"/>
          <w:sz w:val="24"/>
          <w:szCs w:val="24"/>
        </w:rPr>
        <w:t xml:space="preserve"> </w:t>
      </w:r>
      <w:hyperlink r:id="rId56" w:history="1">
        <w:r>
          <w:rPr>
            <w:rStyle w:val="Hyperlink"/>
            <w:rFonts w:ascii="Arial" w:hAnsi="Arial" w:cs="Arial"/>
            <w:sz w:val="24"/>
            <w:szCs w:val="24"/>
          </w:rPr>
          <w:t>(Incluído pela Resolução n.º 139/2026)</w:t>
        </w:r>
      </w:hyperlink>
    </w:p>
    <w:p w14:paraId="51559047" w14:textId="7D0A3B94"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b/>
          <w:bCs/>
          <w:sz w:val="24"/>
          <w:szCs w:val="24"/>
        </w:rPr>
        <w:t>Art. 8º-A</w:t>
      </w:r>
      <w:r w:rsidRPr="007B635A">
        <w:rPr>
          <w:rFonts w:ascii="Arial" w:hAnsi="Arial" w:cs="Arial"/>
          <w:sz w:val="24"/>
          <w:szCs w:val="24"/>
        </w:rPr>
        <w:t xml:space="preserve"> A Comissão de Gestão de Riscos será composta pelo Diretor</w:t>
      </w:r>
      <w:r>
        <w:rPr>
          <w:rFonts w:ascii="Arial" w:hAnsi="Arial" w:cs="Arial"/>
          <w:sz w:val="24"/>
          <w:szCs w:val="24"/>
        </w:rPr>
        <w:t>-</w:t>
      </w:r>
      <w:r w:rsidRPr="007B635A">
        <w:rPr>
          <w:rFonts w:ascii="Arial" w:hAnsi="Arial" w:cs="Arial"/>
          <w:sz w:val="24"/>
          <w:szCs w:val="24"/>
        </w:rPr>
        <w:t>Geral, Coordenador-Geral de Fiscalização, Diretor de Gabinete da Presidência, Controlador Interno e Secretário de Governança, Planejamento e Gestão Estratégica.</w:t>
      </w:r>
      <w:r>
        <w:rPr>
          <w:rFonts w:ascii="Arial" w:hAnsi="Arial" w:cs="Arial"/>
          <w:sz w:val="24"/>
          <w:szCs w:val="24"/>
        </w:rPr>
        <w:t xml:space="preserve"> </w:t>
      </w:r>
      <w:hyperlink r:id="rId57" w:history="1">
        <w:r>
          <w:rPr>
            <w:rStyle w:val="Hyperlink"/>
            <w:rFonts w:ascii="Arial" w:hAnsi="Arial" w:cs="Arial"/>
            <w:sz w:val="24"/>
            <w:szCs w:val="24"/>
          </w:rPr>
          <w:t>(Incluído pela Resolução n.º 139/2026)</w:t>
        </w:r>
      </w:hyperlink>
    </w:p>
    <w:p w14:paraId="5858941C" w14:textId="5FB58253"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sz w:val="24"/>
          <w:szCs w:val="24"/>
        </w:rPr>
        <w:t>Parágrafo único. A Comissão de Gestão de Riscos será presidida pelo Secretário de Governança, Planejamento e Gestão Estratégica.</w:t>
      </w:r>
      <w:r>
        <w:rPr>
          <w:rFonts w:ascii="Arial" w:hAnsi="Arial" w:cs="Arial"/>
          <w:sz w:val="24"/>
          <w:szCs w:val="24"/>
        </w:rPr>
        <w:t xml:space="preserve"> </w:t>
      </w:r>
      <w:hyperlink r:id="rId58" w:history="1">
        <w:r>
          <w:rPr>
            <w:rStyle w:val="Hyperlink"/>
            <w:rFonts w:ascii="Arial" w:hAnsi="Arial" w:cs="Arial"/>
            <w:sz w:val="24"/>
            <w:szCs w:val="24"/>
          </w:rPr>
          <w:t>(Incluído pela Resolução n.º 139/2026)</w:t>
        </w:r>
      </w:hyperlink>
    </w:p>
    <w:p w14:paraId="1529AFA9" w14:textId="64572A5A"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b/>
          <w:bCs/>
          <w:sz w:val="24"/>
          <w:szCs w:val="24"/>
        </w:rPr>
        <w:t>Art. 8º-B</w:t>
      </w:r>
      <w:r w:rsidRPr="007B635A">
        <w:rPr>
          <w:rFonts w:ascii="Arial" w:hAnsi="Arial" w:cs="Arial"/>
          <w:sz w:val="24"/>
          <w:szCs w:val="24"/>
        </w:rPr>
        <w:t xml:space="preserve"> A gestão de riscos do Tribunal está estruturada nas seguintes linhas:</w:t>
      </w:r>
      <w:r>
        <w:rPr>
          <w:rFonts w:ascii="Arial" w:hAnsi="Arial" w:cs="Arial"/>
          <w:sz w:val="24"/>
          <w:szCs w:val="24"/>
        </w:rPr>
        <w:t xml:space="preserve"> </w:t>
      </w:r>
      <w:hyperlink r:id="rId59" w:history="1">
        <w:r>
          <w:rPr>
            <w:rStyle w:val="Hyperlink"/>
            <w:rFonts w:ascii="Arial" w:hAnsi="Arial" w:cs="Arial"/>
            <w:sz w:val="24"/>
            <w:szCs w:val="24"/>
          </w:rPr>
          <w:t>(Incluído pela Resolução n.º 139/2026)</w:t>
        </w:r>
      </w:hyperlink>
    </w:p>
    <w:p w14:paraId="2AFDDF4B" w14:textId="55D726B5"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sz w:val="24"/>
          <w:szCs w:val="24"/>
        </w:rPr>
        <w:t xml:space="preserve">I - </w:t>
      </w:r>
      <w:proofErr w:type="gramStart"/>
      <w:r w:rsidRPr="007B635A">
        <w:rPr>
          <w:rFonts w:ascii="Arial" w:hAnsi="Arial" w:cs="Arial"/>
          <w:sz w:val="24"/>
          <w:szCs w:val="24"/>
        </w:rPr>
        <w:t>primeira</w:t>
      </w:r>
      <w:proofErr w:type="gramEnd"/>
      <w:r w:rsidRPr="007B635A">
        <w:rPr>
          <w:rFonts w:ascii="Arial" w:hAnsi="Arial" w:cs="Arial"/>
          <w:sz w:val="24"/>
          <w:szCs w:val="24"/>
        </w:rPr>
        <w:t xml:space="preserve"> linha, integrada pelos gestores de riscos;</w:t>
      </w:r>
      <w:r>
        <w:rPr>
          <w:rFonts w:ascii="Arial" w:hAnsi="Arial" w:cs="Arial"/>
          <w:sz w:val="24"/>
          <w:szCs w:val="24"/>
        </w:rPr>
        <w:t xml:space="preserve"> </w:t>
      </w:r>
      <w:hyperlink r:id="rId60" w:history="1">
        <w:r>
          <w:rPr>
            <w:rStyle w:val="Hyperlink"/>
            <w:rFonts w:ascii="Arial" w:hAnsi="Arial" w:cs="Arial"/>
            <w:sz w:val="24"/>
            <w:szCs w:val="24"/>
          </w:rPr>
          <w:t>(Incluído pela Resolução n.º 139/2026)</w:t>
        </w:r>
      </w:hyperlink>
    </w:p>
    <w:p w14:paraId="460965A6" w14:textId="7F071EF9"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sz w:val="24"/>
          <w:szCs w:val="24"/>
        </w:rPr>
        <w:t xml:space="preserve">II - </w:t>
      </w:r>
      <w:proofErr w:type="gramStart"/>
      <w:r w:rsidRPr="007B635A">
        <w:rPr>
          <w:rFonts w:ascii="Arial" w:hAnsi="Arial" w:cs="Arial"/>
          <w:sz w:val="24"/>
          <w:szCs w:val="24"/>
        </w:rPr>
        <w:t>segunda</w:t>
      </w:r>
      <w:proofErr w:type="gramEnd"/>
      <w:r w:rsidRPr="007B635A">
        <w:rPr>
          <w:rFonts w:ascii="Arial" w:hAnsi="Arial" w:cs="Arial"/>
          <w:sz w:val="24"/>
          <w:szCs w:val="24"/>
        </w:rPr>
        <w:t xml:space="preserve"> linha, integrada pela Comissão de Gestão de Riscos, pela Secretaria de Governança, Planejamento e Gestão Estratégica e, quando no desempenho das funções de controle interno, pela Controladoria Interna;</w:t>
      </w:r>
      <w:r>
        <w:rPr>
          <w:rFonts w:ascii="Arial" w:hAnsi="Arial" w:cs="Arial"/>
          <w:sz w:val="24"/>
          <w:szCs w:val="24"/>
        </w:rPr>
        <w:t xml:space="preserve"> </w:t>
      </w:r>
      <w:hyperlink r:id="rId61" w:history="1">
        <w:r>
          <w:rPr>
            <w:rStyle w:val="Hyperlink"/>
            <w:rFonts w:ascii="Arial" w:hAnsi="Arial" w:cs="Arial"/>
            <w:sz w:val="24"/>
            <w:szCs w:val="24"/>
          </w:rPr>
          <w:t>(Incluído pela Resolução n.º 139/2026)</w:t>
        </w:r>
      </w:hyperlink>
    </w:p>
    <w:p w14:paraId="3C889E77" w14:textId="537FC959"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sz w:val="24"/>
          <w:szCs w:val="24"/>
        </w:rPr>
        <w:t>III - terceira linha, integrada pela Controladoria Interna quando no desempenho das funções de auditoria interna.</w:t>
      </w:r>
      <w:r>
        <w:rPr>
          <w:rFonts w:ascii="Arial" w:hAnsi="Arial" w:cs="Arial"/>
          <w:sz w:val="24"/>
          <w:szCs w:val="24"/>
        </w:rPr>
        <w:t xml:space="preserve"> </w:t>
      </w:r>
      <w:hyperlink r:id="rId62" w:history="1">
        <w:r>
          <w:rPr>
            <w:rStyle w:val="Hyperlink"/>
            <w:rFonts w:ascii="Arial" w:hAnsi="Arial" w:cs="Arial"/>
            <w:sz w:val="24"/>
            <w:szCs w:val="24"/>
          </w:rPr>
          <w:t>(Incluído pela Resolução n.º 139/2026)</w:t>
        </w:r>
      </w:hyperlink>
    </w:p>
    <w:p w14:paraId="2BF1C03A" w14:textId="3650B50F"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sz w:val="24"/>
          <w:szCs w:val="24"/>
        </w:rPr>
        <w:t>Parágrafo único. Para realização de suas atividades, a Controladoria Interna terá acesso irrestrito aos documentos e informações necessárias aos trabalhos, inclusive aos documentos classificados nos termos da Lei nº 12.527, de 18 de novembro de 2011.</w:t>
      </w:r>
      <w:r>
        <w:rPr>
          <w:rFonts w:ascii="Arial" w:hAnsi="Arial" w:cs="Arial"/>
          <w:sz w:val="24"/>
          <w:szCs w:val="24"/>
        </w:rPr>
        <w:t xml:space="preserve"> </w:t>
      </w:r>
      <w:hyperlink r:id="rId63" w:history="1">
        <w:r>
          <w:rPr>
            <w:rStyle w:val="Hyperlink"/>
            <w:rFonts w:ascii="Arial" w:hAnsi="Arial" w:cs="Arial"/>
            <w:sz w:val="24"/>
            <w:szCs w:val="24"/>
          </w:rPr>
          <w:t>(Incluído pela Resolução n.º 139/2026)</w:t>
        </w:r>
      </w:hyperlink>
    </w:p>
    <w:p w14:paraId="7390F752" w14:textId="0F9214EE" w:rsidR="007B635A" w:rsidRPr="00AF79F7" w:rsidRDefault="007B635A" w:rsidP="000258EA">
      <w:pPr>
        <w:spacing w:before="120" w:after="0" w:line="240" w:lineRule="auto"/>
        <w:ind w:firstLine="1134"/>
        <w:jc w:val="both"/>
        <w:rPr>
          <w:rFonts w:ascii="Arial" w:hAnsi="Arial" w:cs="Arial"/>
          <w:sz w:val="24"/>
          <w:szCs w:val="24"/>
        </w:rPr>
      </w:pPr>
      <w:r w:rsidRPr="007B635A">
        <w:rPr>
          <w:rFonts w:ascii="Arial" w:hAnsi="Arial" w:cs="Arial"/>
          <w:b/>
          <w:bCs/>
          <w:sz w:val="24"/>
          <w:szCs w:val="24"/>
        </w:rPr>
        <w:t>Art. 8º-C</w:t>
      </w:r>
      <w:r w:rsidRPr="007B635A">
        <w:rPr>
          <w:rFonts w:ascii="Arial" w:hAnsi="Arial" w:cs="Arial"/>
          <w:sz w:val="24"/>
          <w:szCs w:val="24"/>
        </w:rPr>
        <w:t xml:space="preserve"> Os dirigentes das unidades e dos gabinetes são os gestores dos riscos relacionados com os objetos sob suas responsabilidades.</w:t>
      </w:r>
      <w:r>
        <w:rPr>
          <w:rFonts w:ascii="Arial" w:hAnsi="Arial" w:cs="Arial"/>
          <w:sz w:val="24"/>
          <w:szCs w:val="24"/>
        </w:rPr>
        <w:t xml:space="preserve"> </w:t>
      </w:r>
      <w:hyperlink r:id="rId64" w:history="1">
        <w:r>
          <w:rPr>
            <w:rStyle w:val="Hyperlink"/>
            <w:rFonts w:ascii="Arial" w:hAnsi="Arial" w:cs="Arial"/>
            <w:sz w:val="24"/>
            <w:szCs w:val="24"/>
          </w:rPr>
          <w:t>(Incluído pela Resolução n.º 139/2026)</w:t>
        </w:r>
      </w:hyperlink>
    </w:p>
    <w:p w14:paraId="572C77AA" w14:textId="77777777" w:rsidR="003546F5" w:rsidRPr="00E17FE3" w:rsidRDefault="003546F5" w:rsidP="003546F5">
      <w:pPr>
        <w:keepNext/>
        <w:spacing w:before="240" w:after="120" w:line="252" w:lineRule="auto"/>
        <w:jc w:val="center"/>
        <w:outlineLvl w:val="0"/>
        <w:rPr>
          <w:rFonts w:ascii="Arial" w:eastAsia="Times New Roman" w:hAnsi="Arial" w:cs="Arial"/>
          <w:b/>
          <w:bCs/>
          <w:kern w:val="32"/>
          <w:sz w:val="24"/>
          <w:szCs w:val="24"/>
        </w:rPr>
      </w:pPr>
      <w:bookmarkStart w:id="10" w:name="_Toc10714174"/>
      <w:r w:rsidRPr="00E17FE3">
        <w:rPr>
          <w:rFonts w:ascii="Arial" w:hAnsi="Arial" w:cs="Arial"/>
          <w:b/>
          <w:bCs/>
          <w:kern w:val="32"/>
          <w:sz w:val="24"/>
          <w:szCs w:val="24"/>
        </w:rPr>
        <w:lastRenderedPageBreak/>
        <w:t>CAPÍTULO IV</w:t>
      </w:r>
      <w:r w:rsidRPr="00E17FE3">
        <w:rPr>
          <w:rFonts w:ascii="Arial" w:hAnsi="Arial" w:cs="Arial"/>
          <w:b/>
          <w:bCs/>
          <w:kern w:val="32"/>
          <w:sz w:val="24"/>
          <w:szCs w:val="24"/>
        </w:rPr>
        <w:br/>
        <w:t>DO PROCESSO DE GERENCIAMENTO DE RISCOS E OPORTUNIDADES</w:t>
      </w:r>
      <w:bookmarkEnd w:id="10"/>
    </w:p>
    <w:p w14:paraId="5FF7921E"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b/>
          <w:sz w:val="24"/>
          <w:szCs w:val="24"/>
        </w:rPr>
        <w:t>Art. 9º</w:t>
      </w:r>
      <w:r w:rsidRPr="000258EA">
        <w:rPr>
          <w:rFonts w:ascii="Arial" w:hAnsi="Arial" w:cs="Arial"/>
          <w:sz w:val="24"/>
          <w:szCs w:val="24"/>
        </w:rPr>
        <w:t xml:space="preserve"> O processo de Gerenciamento de Riscos e Oportunidades contempla o estabelecimento do contexto, a identificação, a análise, a avaliação, o tratamento, a comunicação e o monitoramento.</w:t>
      </w:r>
    </w:p>
    <w:p w14:paraId="37AD6F2D"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 1º O estabelecimento do contexto consiste em compreender o ambiente externo e interno no qual o objeto encontra-se inserido, levantando seus objetivos, resultados, partes interessadas, ambiente organizacional, sistemas, normativos, critérios e parâmetros a serem empregados.</w:t>
      </w:r>
    </w:p>
    <w:p w14:paraId="138EE8DE"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 2º A identificação abrange o reconhecimento e descrição de riscos e oportunidades relacionadas a um objeto de gestão, possíveis fontes, eventos, causas e consequências.</w:t>
      </w:r>
    </w:p>
    <w:p w14:paraId="6C88461E"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 3º A análise compreende a estimativa de probabilidade e impacto e seu nível de risco resultante.</w:t>
      </w:r>
    </w:p>
    <w:p w14:paraId="42F6D2F3"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 4º A avaliação enseja a comparação do nível do risco com critérios de tolerância preestabelecidos, a fim de determinar a estratégia de resposta.</w:t>
      </w:r>
    </w:p>
    <w:p w14:paraId="12079D41"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 5º O tratamento contempla o planejamento e a realização de ações para modificar o nível do risco, incluindo planos preventivos e/ou contingenciais.</w:t>
      </w:r>
    </w:p>
    <w:p w14:paraId="49288C72" w14:textId="77777777" w:rsidR="003546F5" w:rsidRPr="000258EA"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 6º O monitoramento compreende a reanálise e a reavaliação periódica dos riscos e oportunidades identificados e a eventual adequação dos planos de resposta.</w:t>
      </w:r>
    </w:p>
    <w:p w14:paraId="33A0D658" w14:textId="77777777" w:rsidR="003546F5" w:rsidRDefault="003546F5" w:rsidP="000258EA">
      <w:pPr>
        <w:spacing w:before="120" w:after="0" w:line="240" w:lineRule="auto"/>
        <w:ind w:firstLine="1134"/>
        <w:jc w:val="both"/>
        <w:rPr>
          <w:rFonts w:ascii="Arial" w:hAnsi="Arial" w:cs="Arial"/>
          <w:sz w:val="24"/>
          <w:szCs w:val="24"/>
        </w:rPr>
      </w:pPr>
      <w:r w:rsidRPr="000258EA">
        <w:rPr>
          <w:rFonts w:ascii="Arial" w:hAnsi="Arial" w:cs="Arial"/>
          <w:sz w:val="24"/>
          <w:szCs w:val="24"/>
        </w:rPr>
        <w:t>§ 7º A comunicação refere-se ao permanente reporte de informações relativas ao gerenciamento de riscos e oportunidades.</w:t>
      </w:r>
    </w:p>
    <w:p w14:paraId="0B571AEB" w14:textId="6955DD35" w:rsidR="007B635A" w:rsidRDefault="007B635A" w:rsidP="000258EA">
      <w:pPr>
        <w:spacing w:before="120" w:after="0" w:line="240" w:lineRule="auto"/>
        <w:ind w:firstLine="1134"/>
        <w:jc w:val="both"/>
        <w:rPr>
          <w:rFonts w:ascii="Arial" w:hAnsi="Arial" w:cs="Arial"/>
          <w:szCs w:val="24"/>
        </w:rPr>
      </w:pPr>
      <w:r w:rsidRPr="007B635A">
        <w:rPr>
          <w:rFonts w:ascii="Arial" w:hAnsi="Arial" w:cs="Arial"/>
          <w:b/>
          <w:bCs/>
          <w:szCs w:val="24"/>
        </w:rPr>
        <w:t>Art. 9º-A</w:t>
      </w:r>
      <w:r w:rsidRPr="007B635A">
        <w:rPr>
          <w:rFonts w:ascii="Arial" w:hAnsi="Arial" w:cs="Arial"/>
          <w:szCs w:val="24"/>
        </w:rPr>
        <w:t xml:space="preserve"> O ciclo do processo de gerenciamento de riscos deve ser executado ao menos uma vez por ano, facultado aos gestores de riscos estabelecerem ciclos de periodicidade menor, dependendo das necessidades de cada área.</w:t>
      </w:r>
      <w:r>
        <w:rPr>
          <w:rFonts w:ascii="Arial" w:hAnsi="Arial" w:cs="Arial"/>
          <w:szCs w:val="24"/>
        </w:rPr>
        <w:t xml:space="preserve"> </w:t>
      </w:r>
      <w:hyperlink r:id="rId65" w:history="1">
        <w:r>
          <w:rPr>
            <w:rStyle w:val="Hyperlink"/>
            <w:rFonts w:ascii="Arial" w:hAnsi="Arial" w:cs="Arial"/>
            <w:sz w:val="24"/>
            <w:szCs w:val="24"/>
          </w:rPr>
          <w:t>(Incluído pela Resolução n.º 139/2026)</w:t>
        </w:r>
      </w:hyperlink>
    </w:p>
    <w:p w14:paraId="27A76A21" w14:textId="09108C4F"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szCs w:val="24"/>
        </w:rPr>
        <w:t>Parágrafo único. Os gestores de riscos devem priorizar os processos organizacionais que impactem diretamente no alcance dos objetivos estratégicos do Tribunal ou no cumprimento das diretrizes previstas no plano de gestão.</w:t>
      </w:r>
      <w:r>
        <w:rPr>
          <w:rFonts w:ascii="Arial" w:hAnsi="Arial" w:cs="Arial"/>
          <w:szCs w:val="24"/>
        </w:rPr>
        <w:t xml:space="preserve"> </w:t>
      </w:r>
      <w:hyperlink r:id="rId66" w:history="1">
        <w:r>
          <w:rPr>
            <w:rStyle w:val="Hyperlink"/>
            <w:rFonts w:ascii="Arial" w:hAnsi="Arial" w:cs="Arial"/>
            <w:sz w:val="24"/>
            <w:szCs w:val="24"/>
          </w:rPr>
          <w:t>(Incluído pela Resolução n.º 139/2026)</w:t>
        </w:r>
      </w:hyperlink>
    </w:p>
    <w:p w14:paraId="6E2957A1" w14:textId="62338113" w:rsidR="007B635A" w:rsidRDefault="007B635A" w:rsidP="000258EA">
      <w:pPr>
        <w:spacing w:before="120" w:after="0" w:line="240" w:lineRule="auto"/>
        <w:ind w:firstLine="1134"/>
        <w:jc w:val="both"/>
        <w:rPr>
          <w:rFonts w:ascii="Arial" w:hAnsi="Arial" w:cs="Arial"/>
          <w:szCs w:val="24"/>
        </w:rPr>
      </w:pPr>
      <w:r w:rsidRPr="007B635A">
        <w:rPr>
          <w:rFonts w:ascii="Arial" w:hAnsi="Arial" w:cs="Arial"/>
          <w:b/>
          <w:bCs/>
          <w:szCs w:val="24"/>
        </w:rPr>
        <w:t>Art. 9º-B</w:t>
      </w:r>
      <w:r w:rsidRPr="007B635A">
        <w:rPr>
          <w:rFonts w:ascii="Arial" w:hAnsi="Arial" w:cs="Arial"/>
          <w:szCs w:val="24"/>
        </w:rPr>
        <w:t xml:space="preserve"> Os riscos-chave identificados pelos gestores de riscos quanto aos objetos sob suas responsabilidades, acompanhados dos planos de resposta, deverão ser encaminhados para a Secretaria de Governança, Planejamento e Gestão Estratégica.</w:t>
      </w:r>
      <w:r>
        <w:rPr>
          <w:rFonts w:ascii="Arial" w:hAnsi="Arial" w:cs="Arial"/>
          <w:szCs w:val="24"/>
        </w:rPr>
        <w:t xml:space="preserve"> </w:t>
      </w:r>
      <w:hyperlink r:id="rId67" w:history="1">
        <w:r>
          <w:rPr>
            <w:rStyle w:val="Hyperlink"/>
            <w:rFonts w:ascii="Arial" w:hAnsi="Arial" w:cs="Arial"/>
            <w:sz w:val="24"/>
            <w:szCs w:val="24"/>
          </w:rPr>
          <w:t>(Incluído pela Resolução n.º 139/2026)</w:t>
        </w:r>
      </w:hyperlink>
    </w:p>
    <w:p w14:paraId="7517C49B" w14:textId="28712A19" w:rsidR="007B635A" w:rsidRDefault="007B635A" w:rsidP="000258EA">
      <w:pPr>
        <w:spacing w:before="120" w:after="0" w:line="240" w:lineRule="auto"/>
        <w:ind w:firstLine="1134"/>
        <w:jc w:val="both"/>
        <w:rPr>
          <w:rFonts w:ascii="Arial" w:hAnsi="Arial" w:cs="Arial"/>
          <w:szCs w:val="24"/>
        </w:rPr>
      </w:pPr>
      <w:r w:rsidRPr="007B635A">
        <w:rPr>
          <w:rFonts w:ascii="Arial" w:hAnsi="Arial" w:cs="Arial"/>
          <w:szCs w:val="24"/>
        </w:rPr>
        <w:t>§ 1º Os planos de resposta deverão prever as ações de tratamento, os responsáveis e os prazos de execução.</w:t>
      </w:r>
      <w:r>
        <w:rPr>
          <w:rFonts w:ascii="Arial" w:hAnsi="Arial" w:cs="Arial"/>
          <w:szCs w:val="24"/>
        </w:rPr>
        <w:t xml:space="preserve"> </w:t>
      </w:r>
      <w:hyperlink r:id="rId68" w:history="1">
        <w:r>
          <w:rPr>
            <w:rStyle w:val="Hyperlink"/>
            <w:rFonts w:ascii="Arial" w:hAnsi="Arial" w:cs="Arial"/>
            <w:sz w:val="24"/>
            <w:szCs w:val="24"/>
          </w:rPr>
          <w:t>(Incluído pela Resolução n.º 139/2026)</w:t>
        </w:r>
      </w:hyperlink>
    </w:p>
    <w:p w14:paraId="3902AC19" w14:textId="04A15B17" w:rsidR="007B635A" w:rsidRDefault="007B635A" w:rsidP="000258EA">
      <w:pPr>
        <w:spacing w:before="120" w:after="0" w:line="240" w:lineRule="auto"/>
        <w:ind w:firstLine="1134"/>
        <w:jc w:val="both"/>
        <w:rPr>
          <w:rFonts w:ascii="Arial" w:hAnsi="Arial" w:cs="Arial"/>
          <w:szCs w:val="24"/>
        </w:rPr>
      </w:pPr>
      <w:r w:rsidRPr="007B635A">
        <w:rPr>
          <w:rFonts w:ascii="Arial" w:hAnsi="Arial" w:cs="Arial"/>
          <w:szCs w:val="24"/>
        </w:rPr>
        <w:t>§ 2º Os riscos-chave serão consolidados e submetidos à apreciação da Comissão de Gestão de Riscos juntamente com os planos de resposta.</w:t>
      </w:r>
      <w:r>
        <w:rPr>
          <w:rFonts w:ascii="Arial" w:hAnsi="Arial" w:cs="Arial"/>
          <w:szCs w:val="24"/>
        </w:rPr>
        <w:t xml:space="preserve"> </w:t>
      </w:r>
      <w:hyperlink r:id="rId69" w:history="1">
        <w:r>
          <w:rPr>
            <w:rStyle w:val="Hyperlink"/>
            <w:rFonts w:ascii="Arial" w:hAnsi="Arial" w:cs="Arial"/>
            <w:sz w:val="24"/>
            <w:szCs w:val="24"/>
          </w:rPr>
          <w:t>(Incluído pela Resolução n.º 139/2026)</w:t>
        </w:r>
      </w:hyperlink>
    </w:p>
    <w:p w14:paraId="0C3DEF67" w14:textId="7CD227C6"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szCs w:val="24"/>
        </w:rPr>
        <w:t>§ 3º Não havendo a necessidade de informações adicionais ou diligências, após manifestação da Comissão de Gestão de Riscos, os planos de resposta serão submetidos à aprovação do Presidente.</w:t>
      </w:r>
      <w:r>
        <w:rPr>
          <w:rFonts w:ascii="Arial" w:hAnsi="Arial" w:cs="Arial"/>
          <w:szCs w:val="24"/>
        </w:rPr>
        <w:t xml:space="preserve"> </w:t>
      </w:r>
      <w:hyperlink r:id="rId70" w:history="1">
        <w:r>
          <w:rPr>
            <w:rStyle w:val="Hyperlink"/>
            <w:rFonts w:ascii="Arial" w:hAnsi="Arial" w:cs="Arial"/>
            <w:sz w:val="24"/>
            <w:szCs w:val="24"/>
          </w:rPr>
          <w:t>(Incluído pela Resolução n.º 139/2026)</w:t>
        </w:r>
      </w:hyperlink>
    </w:p>
    <w:p w14:paraId="07A169B7" w14:textId="49819BEE" w:rsidR="007B635A" w:rsidRDefault="007B635A" w:rsidP="000258EA">
      <w:pPr>
        <w:spacing w:before="120" w:after="0" w:line="240" w:lineRule="auto"/>
        <w:ind w:firstLine="1134"/>
        <w:jc w:val="both"/>
        <w:rPr>
          <w:rFonts w:ascii="Arial" w:hAnsi="Arial" w:cs="Arial"/>
          <w:sz w:val="24"/>
          <w:szCs w:val="24"/>
        </w:rPr>
      </w:pPr>
      <w:r w:rsidRPr="007B635A">
        <w:rPr>
          <w:rFonts w:ascii="Arial" w:hAnsi="Arial" w:cs="Arial"/>
          <w:b/>
          <w:bCs/>
          <w:szCs w:val="24"/>
        </w:rPr>
        <w:lastRenderedPageBreak/>
        <w:t>Art. 9º-C</w:t>
      </w:r>
      <w:r w:rsidRPr="007B635A">
        <w:rPr>
          <w:rFonts w:ascii="Arial" w:hAnsi="Arial" w:cs="Arial"/>
          <w:szCs w:val="24"/>
        </w:rPr>
        <w:t xml:space="preserve"> Os limites de exposição a riscos de abrangência institucional serão definidos em Portaria, estando sujeitos a revisões e a acompanhamento periódicos.</w:t>
      </w:r>
      <w:r>
        <w:rPr>
          <w:rFonts w:ascii="Arial" w:hAnsi="Arial" w:cs="Arial"/>
          <w:szCs w:val="24"/>
        </w:rPr>
        <w:t xml:space="preserve"> </w:t>
      </w:r>
      <w:hyperlink r:id="rId71" w:history="1">
        <w:r>
          <w:rPr>
            <w:rStyle w:val="Hyperlink"/>
            <w:rFonts w:ascii="Arial" w:hAnsi="Arial" w:cs="Arial"/>
            <w:sz w:val="24"/>
            <w:szCs w:val="24"/>
          </w:rPr>
          <w:t>(Incluído pela Resolução n.º 139/2026)</w:t>
        </w:r>
      </w:hyperlink>
    </w:p>
    <w:p w14:paraId="520C72CB" w14:textId="756B0C88" w:rsidR="00F91E56" w:rsidRDefault="00F91E56" w:rsidP="000258EA">
      <w:pPr>
        <w:spacing w:before="120" w:after="0" w:line="240" w:lineRule="auto"/>
        <w:ind w:firstLine="1134"/>
        <w:jc w:val="both"/>
        <w:rPr>
          <w:rFonts w:ascii="Arial" w:hAnsi="Arial" w:cs="Arial"/>
          <w:szCs w:val="24"/>
        </w:rPr>
      </w:pPr>
      <w:r w:rsidRPr="00F91E56">
        <w:rPr>
          <w:rFonts w:ascii="Arial" w:hAnsi="Arial" w:cs="Arial"/>
          <w:b/>
          <w:bCs/>
          <w:szCs w:val="24"/>
        </w:rPr>
        <w:t>Art. 9º-D</w:t>
      </w:r>
      <w:r w:rsidRPr="00F91E56">
        <w:rPr>
          <w:rFonts w:ascii="Arial" w:hAnsi="Arial" w:cs="Arial"/>
          <w:szCs w:val="24"/>
        </w:rPr>
        <w:t xml:space="preserve"> Os planos institucionais deste Tribunal deverão ser instruídos com mapa de riscos ao serem submetidos à aprovação da instância responsável.</w:t>
      </w:r>
      <w:r>
        <w:rPr>
          <w:rFonts w:ascii="Arial" w:hAnsi="Arial" w:cs="Arial"/>
          <w:szCs w:val="24"/>
        </w:rPr>
        <w:t xml:space="preserve"> </w:t>
      </w:r>
      <w:hyperlink r:id="rId72" w:history="1">
        <w:r>
          <w:rPr>
            <w:rStyle w:val="Hyperlink"/>
            <w:rFonts w:ascii="Arial" w:hAnsi="Arial" w:cs="Arial"/>
            <w:sz w:val="24"/>
            <w:szCs w:val="24"/>
          </w:rPr>
          <w:t>(Incluído pela Resolução n.º 139/2026)</w:t>
        </w:r>
      </w:hyperlink>
    </w:p>
    <w:p w14:paraId="38403CA4" w14:textId="1AA453B1" w:rsidR="007B635A" w:rsidRDefault="00F91E56" w:rsidP="000258EA">
      <w:pPr>
        <w:spacing w:before="120" w:after="0" w:line="240" w:lineRule="auto"/>
        <w:ind w:firstLine="1134"/>
        <w:jc w:val="both"/>
        <w:rPr>
          <w:rFonts w:ascii="Arial" w:hAnsi="Arial" w:cs="Arial"/>
          <w:szCs w:val="24"/>
        </w:rPr>
      </w:pPr>
      <w:r w:rsidRPr="00F91E56">
        <w:rPr>
          <w:rFonts w:ascii="Arial" w:hAnsi="Arial" w:cs="Arial"/>
          <w:szCs w:val="24"/>
        </w:rPr>
        <w:t>Parágrafo único. A gestão dos riscos deverá ser prática contínua e permanente a fim de assegurar o sucesso da boa execução dos planos.</w:t>
      </w:r>
      <w:r>
        <w:rPr>
          <w:rFonts w:ascii="Arial" w:hAnsi="Arial" w:cs="Arial"/>
          <w:szCs w:val="24"/>
        </w:rPr>
        <w:t xml:space="preserve"> </w:t>
      </w:r>
      <w:hyperlink r:id="rId73" w:history="1">
        <w:r>
          <w:rPr>
            <w:rStyle w:val="Hyperlink"/>
            <w:rFonts w:ascii="Arial" w:hAnsi="Arial" w:cs="Arial"/>
            <w:sz w:val="24"/>
            <w:szCs w:val="24"/>
          </w:rPr>
          <w:t>(Incluído pela Resolução n.º 139/2026)</w:t>
        </w:r>
      </w:hyperlink>
    </w:p>
    <w:p w14:paraId="361E47EE" w14:textId="77777777" w:rsidR="00F91E56" w:rsidRDefault="003546F5" w:rsidP="00F91E56">
      <w:pPr>
        <w:keepNext/>
        <w:snapToGrid w:val="0"/>
        <w:spacing w:before="240" w:after="0" w:line="252" w:lineRule="auto"/>
        <w:jc w:val="center"/>
        <w:outlineLvl w:val="0"/>
        <w:rPr>
          <w:rFonts w:ascii="Arial" w:hAnsi="Arial" w:cs="Arial"/>
          <w:b/>
          <w:bCs/>
          <w:strike/>
          <w:kern w:val="32"/>
          <w:sz w:val="24"/>
          <w:szCs w:val="24"/>
        </w:rPr>
      </w:pPr>
      <w:bookmarkStart w:id="11" w:name="_Toc10714175"/>
      <w:r w:rsidRPr="00F91E56">
        <w:rPr>
          <w:rFonts w:ascii="Arial" w:hAnsi="Arial" w:cs="Arial"/>
          <w:b/>
          <w:bCs/>
          <w:strike/>
          <w:kern w:val="32"/>
          <w:sz w:val="24"/>
          <w:szCs w:val="24"/>
        </w:rPr>
        <w:t>CAPÍTULO V</w:t>
      </w:r>
      <w:r w:rsidRPr="00F91E56">
        <w:rPr>
          <w:rFonts w:ascii="Arial" w:hAnsi="Arial" w:cs="Arial"/>
          <w:b/>
          <w:bCs/>
          <w:strike/>
          <w:kern w:val="32"/>
          <w:sz w:val="24"/>
          <w:szCs w:val="24"/>
        </w:rPr>
        <w:br/>
        <w:t>DA IMPLANTAÇÃO DO SISTEMA DE GESTÃO DE RISCOS</w:t>
      </w:r>
      <w:bookmarkEnd w:id="11"/>
    </w:p>
    <w:p w14:paraId="09E5BA02" w14:textId="0D38D458" w:rsidR="00F91E56" w:rsidRPr="00F91E56" w:rsidRDefault="00F91E56" w:rsidP="00F91E56">
      <w:pPr>
        <w:keepNext/>
        <w:spacing w:after="120" w:line="252" w:lineRule="auto"/>
        <w:jc w:val="center"/>
        <w:outlineLvl w:val="0"/>
        <w:rPr>
          <w:rFonts w:ascii="Arial" w:hAnsi="Arial" w:cs="Arial"/>
          <w:b/>
          <w:bCs/>
          <w:strike/>
          <w:kern w:val="32"/>
          <w:sz w:val="24"/>
          <w:szCs w:val="24"/>
        </w:rPr>
      </w:pPr>
      <w:hyperlink r:id="rId74" w:history="1">
        <w:r>
          <w:rPr>
            <w:rStyle w:val="Hyperlink"/>
            <w:rFonts w:ascii="Arial" w:hAnsi="Arial" w:cs="Arial"/>
            <w:sz w:val="24"/>
            <w:szCs w:val="24"/>
          </w:rPr>
          <w:t>(Re</w:t>
        </w:r>
        <w:r>
          <w:rPr>
            <w:rStyle w:val="Hyperlink"/>
            <w:rFonts w:ascii="Arial" w:hAnsi="Arial" w:cs="Arial"/>
            <w:sz w:val="24"/>
            <w:szCs w:val="24"/>
          </w:rPr>
          <w:t>v</w:t>
        </w:r>
        <w:r>
          <w:rPr>
            <w:rStyle w:val="Hyperlink"/>
            <w:rFonts w:ascii="Arial" w:hAnsi="Arial" w:cs="Arial"/>
            <w:sz w:val="24"/>
            <w:szCs w:val="24"/>
          </w:rPr>
          <w:t>ogado pela Resolução n.º 139/2026)</w:t>
        </w:r>
      </w:hyperlink>
    </w:p>
    <w:p w14:paraId="405757BA" w14:textId="77777777" w:rsidR="003546F5" w:rsidRPr="00F91E56" w:rsidRDefault="003546F5" w:rsidP="000258EA">
      <w:pPr>
        <w:spacing w:before="120" w:after="0" w:line="240" w:lineRule="auto"/>
        <w:ind w:firstLine="1134"/>
        <w:jc w:val="both"/>
        <w:rPr>
          <w:rFonts w:ascii="Arial" w:hAnsi="Arial" w:cs="Arial"/>
          <w:strike/>
          <w:sz w:val="24"/>
          <w:szCs w:val="24"/>
        </w:rPr>
      </w:pPr>
      <w:r w:rsidRPr="00F91E56">
        <w:rPr>
          <w:rFonts w:ascii="Arial" w:hAnsi="Arial" w:cs="Arial"/>
          <w:b/>
          <w:strike/>
          <w:sz w:val="24"/>
          <w:szCs w:val="24"/>
        </w:rPr>
        <w:t>Art. 10</w:t>
      </w:r>
      <w:r w:rsidRPr="00F91E56">
        <w:rPr>
          <w:rFonts w:ascii="Arial" w:hAnsi="Arial" w:cs="Arial"/>
          <w:strike/>
          <w:sz w:val="24"/>
          <w:szCs w:val="24"/>
        </w:rPr>
        <w:t>. O Programa de Implantação do Sistema de Gestão de Riscos no Tribunal de Contas do Estado do Paraná – PROGERI, constituído por meio de Portaria da Presidência do TCE/PR, terá por escopo a implantação de sistema estruturado com vista à identificação, a avaliação e o gerenciamento de potenciais eventos que possam afetar o alcance dos objetivos institucionais do Tribunal.</w:t>
      </w:r>
    </w:p>
    <w:p w14:paraId="71CD59E0" w14:textId="77777777" w:rsidR="003546F5" w:rsidRPr="00F91E56" w:rsidRDefault="003546F5" w:rsidP="000258EA">
      <w:pPr>
        <w:spacing w:before="120" w:after="0" w:line="240" w:lineRule="auto"/>
        <w:ind w:firstLine="1134"/>
        <w:jc w:val="both"/>
        <w:rPr>
          <w:rFonts w:ascii="Arial" w:hAnsi="Arial" w:cs="Arial"/>
          <w:strike/>
          <w:sz w:val="24"/>
          <w:szCs w:val="24"/>
        </w:rPr>
      </w:pPr>
      <w:bookmarkStart w:id="12" w:name="_Hlk6823475"/>
      <w:r w:rsidRPr="00F91E56">
        <w:rPr>
          <w:rFonts w:ascii="Arial" w:hAnsi="Arial" w:cs="Arial"/>
          <w:strike/>
          <w:sz w:val="24"/>
          <w:szCs w:val="24"/>
        </w:rPr>
        <w:t xml:space="preserve">§ 1º </w:t>
      </w:r>
      <w:bookmarkEnd w:id="12"/>
      <w:r w:rsidRPr="00F91E56">
        <w:rPr>
          <w:rFonts w:ascii="Arial" w:hAnsi="Arial" w:cs="Arial"/>
          <w:strike/>
          <w:sz w:val="24"/>
          <w:szCs w:val="24"/>
        </w:rPr>
        <w:t>O PROGERI terá como previsão inicial de duração o prazo de 18 (dezoito) meses, podendo este prazo ser modificado consoante as necessidades do TCE/PR.</w:t>
      </w:r>
    </w:p>
    <w:p w14:paraId="6DFDE860" w14:textId="77777777" w:rsidR="003546F5" w:rsidRDefault="003546F5" w:rsidP="000258EA">
      <w:pPr>
        <w:spacing w:before="120" w:after="0" w:line="240" w:lineRule="auto"/>
        <w:ind w:firstLine="1134"/>
        <w:jc w:val="both"/>
        <w:rPr>
          <w:rFonts w:ascii="Arial" w:hAnsi="Arial" w:cs="Arial"/>
          <w:strike/>
          <w:sz w:val="24"/>
          <w:szCs w:val="24"/>
        </w:rPr>
      </w:pPr>
      <w:r w:rsidRPr="00F91E56">
        <w:rPr>
          <w:rFonts w:ascii="Arial" w:hAnsi="Arial" w:cs="Arial"/>
          <w:strike/>
          <w:sz w:val="24"/>
          <w:szCs w:val="24"/>
        </w:rPr>
        <w:t>§ 2º O Presidente poderá designar através de Portaria um servidor que exercerá a função de Consultor Técnico do PROGERI.</w:t>
      </w:r>
    </w:p>
    <w:p w14:paraId="0314686F" w14:textId="0080A11F" w:rsidR="00F91E56" w:rsidRPr="00F91E56" w:rsidRDefault="00F91E56" w:rsidP="00F91E56">
      <w:pPr>
        <w:spacing w:before="120" w:after="0" w:line="240" w:lineRule="auto"/>
        <w:ind w:firstLine="1134"/>
        <w:jc w:val="both"/>
        <w:rPr>
          <w:rFonts w:ascii="Arial" w:hAnsi="Arial" w:cs="Arial"/>
          <w:b/>
          <w:bCs/>
          <w:sz w:val="24"/>
          <w:szCs w:val="24"/>
        </w:rPr>
      </w:pPr>
      <w:r w:rsidRPr="00F91E56">
        <w:rPr>
          <w:rFonts w:ascii="Arial" w:hAnsi="Arial" w:cs="Arial"/>
          <w:b/>
          <w:sz w:val="24"/>
          <w:szCs w:val="24"/>
        </w:rPr>
        <w:t>Art. 10</w:t>
      </w:r>
      <w:r w:rsidRPr="00F91E56">
        <w:rPr>
          <w:rFonts w:ascii="Arial" w:hAnsi="Arial" w:cs="Arial"/>
          <w:sz w:val="24"/>
          <w:szCs w:val="24"/>
        </w:rPr>
        <w:t>.</w:t>
      </w:r>
      <w:r>
        <w:rPr>
          <w:rFonts w:ascii="Arial" w:hAnsi="Arial" w:cs="Arial"/>
          <w:sz w:val="24"/>
          <w:szCs w:val="24"/>
        </w:rPr>
        <w:t xml:space="preserve"> </w:t>
      </w:r>
      <w:hyperlink r:id="rId75" w:history="1">
        <w:r w:rsidRPr="00F91E56">
          <w:rPr>
            <w:rStyle w:val="Hyperlink"/>
            <w:rFonts w:ascii="Arial" w:hAnsi="Arial" w:cs="Arial"/>
            <w:sz w:val="24"/>
            <w:szCs w:val="24"/>
          </w:rPr>
          <w:t>(Revogado pela Resolução n.º 139/2026)</w:t>
        </w:r>
      </w:hyperlink>
    </w:p>
    <w:p w14:paraId="40C88A69" w14:textId="77777777" w:rsidR="003546F5" w:rsidRPr="00F91E56" w:rsidRDefault="003546F5" w:rsidP="000258EA">
      <w:pPr>
        <w:spacing w:before="120" w:after="0" w:line="240" w:lineRule="auto"/>
        <w:ind w:firstLine="1134"/>
        <w:jc w:val="both"/>
        <w:rPr>
          <w:rFonts w:ascii="Arial" w:hAnsi="Arial" w:cs="Arial"/>
          <w:strike/>
          <w:sz w:val="24"/>
          <w:szCs w:val="24"/>
        </w:rPr>
      </w:pPr>
      <w:r w:rsidRPr="00F91E56">
        <w:rPr>
          <w:rFonts w:ascii="Arial" w:hAnsi="Arial" w:cs="Arial"/>
          <w:b/>
          <w:strike/>
          <w:sz w:val="24"/>
          <w:szCs w:val="24"/>
        </w:rPr>
        <w:t>Art. 11</w:t>
      </w:r>
      <w:r w:rsidRPr="00F91E56">
        <w:rPr>
          <w:rFonts w:ascii="Arial" w:hAnsi="Arial" w:cs="Arial"/>
          <w:strike/>
          <w:sz w:val="24"/>
          <w:szCs w:val="24"/>
        </w:rPr>
        <w:t>. São instâncias responsáveis pelo PROGERI:</w:t>
      </w:r>
    </w:p>
    <w:p w14:paraId="6872A865" w14:textId="77777777" w:rsidR="003546F5" w:rsidRPr="00F91E56" w:rsidRDefault="003546F5" w:rsidP="000258EA">
      <w:pPr>
        <w:spacing w:before="120" w:after="0" w:line="240" w:lineRule="auto"/>
        <w:ind w:firstLine="1134"/>
        <w:jc w:val="both"/>
        <w:rPr>
          <w:rFonts w:ascii="Arial" w:hAnsi="Arial" w:cs="Arial"/>
          <w:strike/>
          <w:sz w:val="24"/>
          <w:szCs w:val="24"/>
        </w:rPr>
      </w:pPr>
      <w:r w:rsidRPr="00F91E56">
        <w:rPr>
          <w:rFonts w:ascii="Arial" w:hAnsi="Arial" w:cs="Arial"/>
          <w:strike/>
          <w:sz w:val="24"/>
          <w:szCs w:val="24"/>
        </w:rPr>
        <w:t>I - Tribunal Pleno;</w:t>
      </w:r>
    </w:p>
    <w:p w14:paraId="11B32B1F" w14:textId="77777777" w:rsidR="003546F5" w:rsidRPr="00F91E56" w:rsidRDefault="003546F5" w:rsidP="000258EA">
      <w:pPr>
        <w:spacing w:before="120" w:after="0" w:line="240" w:lineRule="auto"/>
        <w:ind w:firstLine="1134"/>
        <w:jc w:val="both"/>
        <w:rPr>
          <w:rFonts w:ascii="Arial" w:hAnsi="Arial" w:cs="Arial"/>
          <w:strike/>
          <w:sz w:val="24"/>
          <w:szCs w:val="24"/>
        </w:rPr>
      </w:pPr>
      <w:r w:rsidRPr="00F91E56">
        <w:rPr>
          <w:rFonts w:ascii="Arial" w:hAnsi="Arial" w:cs="Arial"/>
          <w:strike/>
          <w:sz w:val="24"/>
          <w:szCs w:val="24"/>
        </w:rPr>
        <w:t>II - Presidência;</w:t>
      </w:r>
    </w:p>
    <w:p w14:paraId="218A047A" w14:textId="77777777" w:rsidR="003546F5" w:rsidRPr="00F91E56" w:rsidRDefault="003546F5" w:rsidP="000258EA">
      <w:pPr>
        <w:spacing w:before="120" w:after="0" w:line="240" w:lineRule="auto"/>
        <w:ind w:firstLine="1134"/>
        <w:jc w:val="both"/>
        <w:rPr>
          <w:rFonts w:ascii="Arial" w:hAnsi="Arial" w:cs="Arial"/>
          <w:strike/>
          <w:sz w:val="24"/>
          <w:szCs w:val="24"/>
        </w:rPr>
      </w:pPr>
      <w:r w:rsidRPr="00F91E56">
        <w:rPr>
          <w:rFonts w:ascii="Arial" w:hAnsi="Arial" w:cs="Arial"/>
          <w:strike/>
          <w:sz w:val="24"/>
          <w:szCs w:val="24"/>
        </w:rPr>
        <w:t>III - Comissão de Gestão de Riscos;</w:t>
      </w:r>
    </w:p>
    <w:p w14:paraId="46DA8959" w14:textId="77777777" w:rsidR="003546F5" w:rsidRPr="00F91E56" w:rsidRDefault="003546F5" w:rsidP="000258EA">
      <w:pPr>
        <w:spacing w:before="120" w:after="0" w:line="240" w:lineRule="auto"/>
        <w:ind w:firstLine="1134"/>
        <w:jc w:val="both"/>
        <w:rPr>
          <w:rFonts w:ascii="Arial" w:hAnsi="Arial" w:cs="Arial"/>
          <w:strike/>
          <w:sz w:val="24"/>
          <w:szCs w:val="24"/>
        </w:rPr>
      </w:pPr>
      <w:r w:rsidRPr="00F91E56">
        <w:rPr>
          <w:rFonts w:ascii="Arial" w:hAnsi="Arial" w:cs="Arial"/>
          <w:strike/>
          <w:sz w:val="24"/>
          <w:szCs w:val="24"/>
        </w:rPr>
        <w:t>IV - Comitê Consultivo; e</w:t>
      </w:r>
    </w:p>
    <w:p w14:paraId="48D3EAAE" w14:textId="77777777" w:rsidR="003546F5" w:rsidRPr="00F91E56" w:rsidRDefault="003546F5" w:rsidP="000258EA">
      <w:pPr>
        <w:spacing w:before="120" w:after="0" w:line="240" w:lineRule="auto"/>
        <w:ind w:firstLine="1134"/>
        <w:jc w:val="both"/>
        <w:rPr>
          <w:rFonts w:ascii="Arial" w:hAnsi="Arial" w:cs="Arial"/>
          <w:strike/>
          <w:sz w:val="24"/>
          <w:szCs w:val="24"/>
        </w:rPr>
      </w:pPr>
      <w:r w:rsidRPr="00F91E56">
        <w:rPr>
          <w:rFonts w:ascii="Arial" w:hAnsi="Arial" w:cs="Arial"/>
          <w:strike/>
          <w:sz w:val="24"/>
          <w:szCs w:val="24"/>
        </w:rPr>
        <w:t>V - Grupo técnico de trabalho.</w:t>
      </w:r>
    </w:p>
    <w:p w14:paraId="04DEFCC4" w14:textId="77777777" w:rsidR="003546F5" w:rsidRPr="00F91E56" w:rsidRDefault="003546F5" w:rsidP="000258EA">
      <w:pPr>
        <w:spacing w:before="120" w:after="0" w:line="240" w:lineRule="auto"/>
        <w:ind w:firstLine="1134"/>
        <w:jc w:val="both"/>
        <w:rPr>
          <w:rFonts w:ascii="Arial" w:hAnsi="Arial" w:cs="Arial"/>
          <w:strike/>
          <w:sz w:val="24"/>
          <w:szCs w:val="24"/>
        </w:rPr>
      </w:pPr>
      <w:bookmarkStart w:id="13" w:name="_Hlk6833406"/>
      <w:r w:rsidRPr="00F91E56">
        <w:rPr>
          <w:rFonts w:ascii="Arial" w:hAnsi="Arial" w:cs="Arial"/>
          <w:strike/>
          <w:sz w:val="24"/>
          <w:szCs w:val="24"/>
        </w:rPr>
        <w:t xml:space="preserve">§ 1º O Tribunal Pleno do TCE, nos termos dos </w:t>
      </w:r>
      <w:proofErr w:type="spellStart"/>
      <w:r w:rsidRPr="00F91E56">
        <w:rPr>
          <w:rFonts w:ascii="Arial" w:hAnsi="Arial" w:cs="Arial"/>
          <w:strike/>
          <w:sz w:val="24"/>
          <w:szCs w:val="24"/>
        </w:rPr>
        <w:t>arts</w:t>
      </w:r>
      <w:proofErr w:type="spellEnd"/>
      <w:r w:rsidRPr="00F91E56">
        <w:rPr>
          <w:rFonts w:ascii="Arial" w:hAnsi="Arial" w:cs="Arial"/>
          <w:strike/>
          <w:sz w:val="24"/>
          <w:szCs w:val="24"/>
        </w:rPr>
        <w:t>. 3º e 5º, XXXVIII, do Regimento Interno, é a instância máxima de deliberação acerca dos resultados do Programa.</w:t>
      </w:r>
    </w:p>
    <w:bookmarkEnd w:id="13"/>
    <w:p w14:paraId="79939FBA" w14:textId="77777777" w:rsidR="003546F5" w:rsidRPr="00F91E56" w:rsidRDefault="003546F5" w:rsidP="000258EA">
      <w:pPr>
        <w:spacing w:before="120" w:after="0" w:line="240" w:lineRule="auto"/>
        <w:ind w:firstLine="1134"/>
        <w:jc w:val="both"/>
        <w:rPr>
          <w:rFonts w:ascii="Arial" w:hAnsi="Arial" w:cs="Arial"/>
          <w:strike/>
          <w:sz w:val="24"/>
          <w:szCs w:val="24"/>
        </w:rPr>
      </w:pPr>
      <w:r w:rsidRPr="00F91E56">
        <w:rPr>
          <w:rFonts w:ascii="Arial" w:hAnsi="Arial" w:cs="Arial"/>
          <w:strike/>
          <w:sz w:val="24"/>
          <w:szCs w:val="24"/>
        </w:rPr>
        <w:t>§ 2º Compete à Presidência do TCE/PR supervisionar os resultados do PROGERI e comunicar seus resultados ao Tribunal Pleno.</w:t>
      </w:r>
    </w:p>
    <w:p w14:paraId="2F638913" w14:textId="77777777" w:rsidR="003546F5" w:rsidRPr="00F91E56" w:rsidRDefault="003546F5" w:rsidP="000258EA">
      <w:pPr>
        <w:spacing w:before="120" w:after="0" w:line="240" w:lineRule="auto"/>
        <w:ind w:firstLine="1134"/>
        <w:jc w:val="both"/>
        <w:rPr>
          <w:rFonts w:ascii="Arial" w:hAnsi="Arial" w:cs="Arial"/>
          <w:strike/>
          <w:sz w:val="24"/>
          <w:szCs w:val="24"/>
        </w:rPr>
      </w:pPr>
      <w:bookmarkStart w:id="14" w:name="_Hlk6823598"/>
      <w:r w:rsidRPr="00F91E56">
        <w:rPr>
          <w:rFonts w:ascii="Arial" w:hAnsi="Arial" w:cs="Arial"/>
          <w:strike/>
          <w:sz w:val="24"/>
          <w:szCs w:val="24"/>
        </w:rPr>
        <w:t>§ 3º A Comissão de Gestão de Riscos do TCE/PR, constituída, nos termos do art. 178 do Regimento Interno, será presidida pelo Diretor-Geral do TCE/PR e composta por servidores indicados pelos Conselheiros, tendo por missão a avaliação dos resultados obtidos pelo Programa.</w:t>
      </w:r>
    </w:p>
    <w:p w14:paraId="188E63F7" w14:textId="77777777" w:rsidR="003546F5" w:rsidRPr="00F91E56" w:rsidRDefault="003546F5" w:rsidP="000258EA">
      <w:pPr>
        <w:spacing w:before="120" w:after="0" w:line="240" w:lineRule="auto"/>
        <w:ind w:firstLine="1134"/>
        <w:jc w:val="both"/>
        <w:rPr>
          <w:rFonts w:ascii="Arial" w:hAnsi="Arial" w:cs="Arial"/>
          <w:strike/>
          <w:sz w:val="24"/>
          <w:szCs w:val="24"/>
        </w:rPr>
      </w:pPr>
      <w:r w:rsidRPr="00F91E56">
        <w:rPr>
          <w:rFonts w:ascii="Arial" w:hAnsi="Arial" w:cs="Arial"/>
          <w:strike/>
          <w:sz w:val="24"/>
          <w:szCs w:val="24"/>
        </w:rPr>
        <w:t xml:space="preserve">§ 4º </w:t>
      </w:r>
      <w:bookmarkEnd w:id="14"/>
      <w:r w:rsidRPr="00F91E56">
        <w:rPr>
          <w:rFonts w:ascii="Arial" w:hAnsi="Arial" w:cs="Arial"/>
          <w:strike/>
          <w:sz w:val="24"/>
          <w:szCs w:val="24"/>
        </w:rPr>
        <w:t xml:space="preserve">O Comitê Consultivo do Programa de Implantação do Sistema de Gestão de Riscos no Tribunal de Contas do Estado do Paraná será formado pelos titulares da Diretoria-Geral, da Diretoria de Planejamento, </w:t>
      </w:r>
      <w:bookmarkStart w:id="15" w:name="_Hlk4512300"/>
      <w:r w:rsidRPr="00F91E56">
        <w:rPr>
          <w:rFonts w:ascii="Arial" w:hAnsi="Arial" w:cs="Arial"/>
          <w:strike/>
          <w:sz w:val="24"/>
          <w:szCs w:val="24"/>
        </w:rPr>
        <w:t xml:space="preserve">da Escola de Gestão </w:t>
      </w:r>
      <w:r w:rsidRPr="00F91E56">
        <w:rPr>
          <w:rFonts w:ascii="Arial" w:hAnsi="Arial" w:cs="Arial"/>
          <w:strike/>
          <w:sz w:val="24"/>
          <w:szCs w:val="24"/>
        </w:rPr>
        <w:lastRenderedPageBreak/>
        <w:t>Pública</w:t>
      </w:r>
      <w:bookmarkEnd w:id="15"/>
      <w:r w:rsidRPr="00F91E56">
        <w:rPr>
          <w:rFonts w:ascii="Arial" w:hAnsi="Arial" w:cs="Arial"/>
          <w:strike/>
          <w:sz w:val="24"/>
          <w:szCs w:val="24"/>
        </w:rPr>
        <w:t xml:space="preserve"> e do Controle Interno, </w:t>
      </w:r>
      <w:bookmarkStart w:id="16" w:name="_Hlk6823486"/>
      <w:r w:rsidRPr="00F91E56">
        <w:rPr>
          <w:rFonts w:ascii="Arial" w:hAnsi="Arial" w:cs="Arial"/>
          <w:strike/>
          <w:sz w:val="24"/>
          <w:szCs w:val="24"/>
        </w:rPr>
        <w:t>sendo encarregado da aferição do cumprimento dos objetivos e atividades do Programa.</w:t>
      </w:r>
    </w:p>
    <w:p w14:paraId="299DA7D7" w14:textId="77777777" w:rsidR="00086CAD" w:rsidRPr="00F91E56" w:rsidRDefault="00086CAD" w:rsidP="00086CAD">
      <w:pPr>
        <w:spacing w:before="120" w:after="0" w:line="240" w:lineRule="auto"/>
        <w:ind w:firstLine="1134"/>
        <w:jc w:val="both"/>
        <w:rPr>
          <w:rFonts w:ascii="Arial" w:hAnsi="Arial" w:cs="Arial"/>
          <w:strike/>
          <w:sz w:val="24"/>
          <w:szCs w:val="24"/>
        </w:rPr>
      </w:pPr>
      <w:r w:rsidRPr="00F91E56">
        <w:rPr>
          <w:rFonts w:ascii="Arial" w:hAnsi="Arial" w:cs="Arial"/>
          <w:strike/>
          <w:sz w:val="24"/>
          <w:szCs w:val="24"/>
        </w:rPr>
        <w:t xml:space="preserve">§ 4º O Comitê Consultivo do Programa de Implantação do Sistema de Gestão de Riscos no Tribunal de Contas do Estado do Paraná será formado pelos titulares da Diretoria-Geral, da Secretaria de Governança, Planejamento e Gestão Estratégica, da Escola de Gestão Pública e do Controle Interno, sendo encarregado da aferição do cumprimento dos objetivos e atividades do Programa. </w:t>
      </w:r>
      <w:hyperlink r:id="rId76" w:history="1">
        <w:r w:rsidRPr="00F91E56">
          <w:rPr>
            <w:rStyle w:val="Hyperlink"/>
            <w:rFonts w:ascii="Arial" w:hAnsi="Arial" w:cs="Arial"/>
            <w:strike/>
            <w:sz w:val="24"/>
            <w:szCs w:val="24"/>
            <w:u w:val="none"/>
          </w:rPr>
          <w:t>(Redação dada pela Resolução n° 125/2025)</w:t>
        </w:r>
      </w:hyperlink>
      <w:r w:rsidRPr="00F91E56">
        <w:rPr>
          <w:rFonts w:ascii="Arial" w:hAnsi="Arial" w:cs="Arial"/>
          <w:strike/>
          <w:sz w:val="24"/>
          <w:szCs w:val="24"/>
        </w:rPr>
        <w:t>.</w:t>
      </w:r>
    </w:p>
    <w:bookmarkEnd w:id="16"/>
    <w:p w14:paraId="203CA3EC" w14:textId="77777777" w:rsidR="003546F5" w:rsidRDefault="003546F5" w:rsidP="000258EA">
      <w:pPr>
        <w:spacing w:before="120" w:after="0" w:line="240" w:lineRule="auto"/>
        <w:ind w:firstLine="1134"/>
        <w:jc w:val="both"/>
        <w:rPr>
          <w:rFonts w:ascii="Arial" w:hAnsi="Arial" w:cs="Arial"/>
          <w:strike/>
          <w:sz w:val="24"/>
          <w:szCs w:val="24"/>
        </w:rPr>
      </w:pPr>
      <w:r w:rsidRPr="00F91E56">
        <w:rPr>
          <w:rFonts w:ascii="Arial" w:hAnsi="Arial" w:cs="Arial"/>
          <w:strike/>
          <w:sz w:val="24"/>
          <w:szCs w:val="24"/>
        </w:rPr>
        <w:t>§ 5º O Grupo de Trabalho, composto por servidores designados pela Diretoria-Geral, terá por função estruturar o Sistema de Gestão de Riscos do TCE/PR.</w:t>
      </w:r>
    </w:p>
    <w:p w14:paraId="23FC5A56" w14:textId="05EA3622" w:rsidR="00F91E56" w:rsidRPr="000258EA" w:rsidRDefault="00F91E56" w:rsidP="000258EA">
      <w:pPr>
        <w:spacing w:before="120" w:after="0" w:line="240" w:lineRule="auto"/>
        <w:ind w:firstLine="1134"/>
        <w:jc w:val="both"/>
        <w:rPr>
          <w:rFonts w:ascii="Arial" w:hAnsi="Arial" w:cs="Arial"/>
          <w:b/>
          <w:sz w:val="24"/>
          <w:szCs w:val="24"/>
        </w:rPr>
      </w:pPr>
      <w:r w:rsidRPr="000258EA">
        <w:rPr>
          <w:rFonts w:ascii="Arial" w:hAnsi="Arial" w:cs="Arial"/>
          <w:b/>
          <w:sz w:val="24"/>
          <w:szCs w:val="24"/>
        </w:rPr>
        <w:t>Art. 11</w:t>
      </w:r>
      <w:r w:rsidRPr="000258EA">
        <w:rPr>
          <w:rFonts w:ascii="Arial" w:hAnsi="Arial" w:cs="Arial"/>
          <w:sz w:val="24"/>
          <w:szCs w:val="24"/>
        </w:rPr>
        <w:t>.</w:t>
      </w:r>
      <w:r>
        <w:rPr>
          <w:rFonts w:ascii="Arial" w:hAnsi="Arial" w:cs="Arial"/>
          <w:sz w:val="24"/>
          <w:szCs w:val="24"/>
        </w:rPr>
        <w:t xml:space="preserve"> </w:t>
      </w:r>
      <w:hyperlink r:id="rId77" w:history="1">
        <w:r w:rsidRPr="00F91E56">
          <w:rPr>
            <w:rStyle w:val="Hyperlink"/>
            <w:rFonts w:ascii="Arial" w:hAnsi="Arial" w:cs="Arial"/>
            <w:sz w:val="24"/>
            <w:szCs w:val="24"/>
          </w:rPr>
          <w:t>(Revogado pela Resolução n.º 139/2026)</w:t>
        </w:r>
      </w:hyperlink>
    </w:p>
    <w:p w14:paraId="51694CC8" w14:textId="77777777" w:rsidR="003546F5" w:rsidRPr="00E17FE3" w:rsidRDefault="003546F5" w:rsidP="003546F5">
      <w:pPr>
        <w:keepNext/>
        <w:spacing w:before="240" w:after="120" w:line="252" w:lineRule="auto"/>
        <w:jc w:val="center"/>
        <w:outlineLvl w:val="0"/>
        <w:rPr>
          <w:rFonts w:ascii="Arial" w:eastAsia="Times New Roman" w:hAnsi="Arial" w:cs="Arial"/>
          <w:b/>
          <w:bCs/>
          <w:kern w:val="32"/>
          <w:sz w:val="24"/>
          <w:szCs w:val="24"/>
        </w:rPr>
      </w:pPr>
      <w:bookmarkStart w:id="17" w:name="_Toc10714176"/>
      <w:r w:rsidRPr="00E17FE3">
        <w:rPr>
          <w:rFonts w:ascii="Arial" w:hAnsi="Arial" w:cs="Arial"/>
          <w:b/>
          <w:bCs/>
          <w:kern w:val="32"/>
          <w:sz w:val="24"/>
          <w:szCs w:val="24"/>
        </w:rPr>
        <w:t>CAPÍTULO VI</w:t>
      </w:r>
      <w:r w:rsidRPr="00E17FE3">
        <w:rPr>
          <w:rFonts w:ascii="Arial" w:hAnsi="Arial" w:cs="Arial"/>
          <w:b/>
          <w:bCs/>
          <w:kern w:val="32"/>
          <w:sz w:val="24"/>
          <w:szCs w:val="24"/>
        </w:rPr>
        <w:br/>
        <w:t>DAS DISPOSIÇÕES FINAIS</w:t>
      </w:r>
      <w:bookmarkEnd w:id="17"/>
    </w:p>
    <w:p w14:paraId="4FB36966" w14:textId="77777777" w:rsidR="003546F5" w:rsidRDefault="003546F5" w:rsidP="000258EA">
      <w:pPr>
        <w:spacing w:before="120" w:after="0" w:line="240" w:lineRule="auto"/>
        <w:ind w:firstLine="1134"/>
        <w:jc w:val="both"/>
        <w:rPr>
          <w:rFonts w:ascii="Arial" w:hAnsi="Arial" w:cs="Arial"/>
          <w:strike/>
          <w:sz w:val="24"/>
          <w:szCs w:val="24"/>
        </w:rPr>
      </w:pPr>
      <w:r w:rsidRPr="00AF79F7">
        <w:rPr>
          <w:rFonts w:ascii="Arial" w:hAnsi="Arial" w:cs="Arial"/>
          <w:b/>
          <w:strike/>
          <w:sz w:val="24"/>
          <w:szCs w:val="24"/>
        </w:rPr>
        <w:t>Art. 12</w:t>
      </w:r>
      <w:r w:rsidRPr="00AF79F7">
        <w:rPr>
          <w:rFonts w:ascii="Arial" w:hAnsi="Arial" w:cs="Arial"/>
          <w:strike/>
          <w:sz w:val="24"/>
          <w:szCs w:val="24"/>
        </w:rPr>
        <w:t>. A política de Gestão de Riscos do TCE/PR será revista a cada 2 (dois) anos ou sempre que necessário, no intuito de mantê-la atualizada diante de mudanças no ambiente interno ou externo, a partir de proposta elaborada pela Diretoria-Geral do Tribunal ou por quaisquer de seus membros.</w:t>
      </w:r>
    </w:p>
    <w:p w14:paraId="2D82AD1F" w14:textId="7CB4FE6D" w:rsidR="00AF79F7" w:rsidRDefault="00AF79F7" w:rsidP="00AF79F7">
      <w:pPr>
        <w:spacing w:before="120" w:after="0" w:line="240" w:lineRule="auto"/>
        <w:ind w:firstLine="1134"/>
        <w:jc w:val="both"/>
        <w:rPr>
          <w:rFonts w:ascii="Arial" w:hAnsi="Arial" w:cs="Arial"/>
          <w:sz w:val="24"/>
          <w:szCs w:val="24"/>
        </w:rPr>
      </w:pPr>
      <w:r w:rsidRPr="00AF79F7">
        <w:rPr>
          <w:rFonts w:ascii="Arial" w:hAnsi="Arial" w:cs="Arial"/>
          <w:b/>
          <w:sz w:val="24"/>
          <w:szCs w:val="24"/>
        </w:rPr>
        <w:t>Art. 12</w:t>
      </w:r>
      <w:r w:rsidRPr="00AF79F7">
        <w:rPr>
          <w:rFonts w:ascii="Arial" w:hAnsi="Arial" w:cs="Arial"/>
          <w:sz w:val="24"/>
          <w:szCs w:val="24"/>
        </w:rPr>
        <w:t>. A política de Gestão de Riscos do TCE/PR será revista sempre que necessário, no intuito de mantê-la atualizada diante de mudanças no ambiente interno ou externo.</w:t>
      </w:r>
      <w:r>
        <w:rPr>
          <w:rFonts w:ascii="Arial" w:hAnsi="Arial" w:cs="Arial"/>
          <w:sz w:val="24"/>
          <w:szCs w:val="24"/>
        </w:rPr>
        <w:t xml:space="preserve"> </w:t>
      </w:r>
      <w:hyperlink r:id="rId78" w:history="1">
        <w:r w:rsidRPr="00872C23">
          <w:rPr>
            <w:rStyle w:val="Hyperlink"/>
            <w:rFonts w:ascii="Arial" w:hAnsi="Arial" w:cs="Arial"/>
            <w:sz w:val="24"/>
            <w:szCs w:val="24"/>
          </w:rPr>
          <w:t>(Redação dada pela Resolução n.º 139/2026)</w:t>
        </w:r>
      </w:hyperlink>
    </w:p>
    <w:p w14:paraId="54033716" w14:textId="2B425D97" w:rsidR="00F91E56" w:rsidRPr="00AF79F7" w:rsidRDefault="00F91E56" w:rsidP="00AF79F7">
      <w:pPr>
        <w:spacing w:before="120" w:after="0" w:line="240" w:lineRule="auto"/>
        <w:ind w:firstLine="1134"/>
        <w:jc w:val="both"/>
        <w:rPr>
          <w:rFonts w:ascii="Arial" w:hAnsi="Arial" w:cs="Arial"/>
          <w:sz w:val="24"/>
          <w:szCs w:val="24"/>
        </w:rPr>
      </w:pPr>
      <w:r w:rsidRPr="00F91E56">
        <w:rPr>
          <w:rFonts w:ascii="Arial" w:hAnsi="Arial" w:cs="Arial"/>
          <w:b/>
          <w:bCs/>
          <w:sz w:val="24"/>
          <w:szCs w:val="24"/>
        </w:rPr>
        <w:t>Art. 12-A.</w:t>
      </w:r>
      <w:r w:rsidRPr="00F91E56">
        <w:rPr>
          <w:rFonts w:ascii="Arial" w:hAnsi="Arial" w:cs="Arial"/>
          <w:sz w:val="24"/>
          <w:szCs w:val="24"/>
        </w:rPr>
        <w:t xml:space="preserve"> Em até 90 (noventa) dias, contados da aprovação desta Resolução, os gestores de riscos encaminharão à Secretaria de Governança, Planejamento e Gestão Estratégica os riscos-chave, acompanhados dos planos de resposta, relativos aos objetos sob suas responsabilidades que impactam diretamente no alcance dos objetivos estratégicos do Tribunal ou no cumprimento das diretrizes previstas no plano de gestão.</w:t>
      </w:r>
      <w:r>
        <w:rPr>
          <w:rFonts w:ascii="Arial" w:hAnsi="Arial" w:cs="Arial"/>
          <w:sz w:val="24"/>
          <w:szCs w:val="24"/>
        </w:rPr>
        <w:t xml:space="preserve"> </w:t>
      </w:r>
      <w:hyperlink r:id="rId79" w:history="1">
        <w:r>
          <w:rPr>
            <w:rStyle w:val="Hyperlink"/>
            <w:rFonts w:ascii="Arial" w:hAnsi="Arial" w:cs="Arial"/>
            <w:sz w:val="24"/>
            <w:szCs w:val="24"/>
          </w:rPr>
          <w:t>(Incluído pela Resolução n.º 139/2026)</w:t>
        </w:r>
      </w:hyperlink>
    </w:p>
    <w:p w14:paraId="30DF589B" w14:textId="77777777" w:rsidR="003546F5" w:rsidRPr="00E17FE3" w:rsidRDefault="003546F5" w:rsidP="000258EA">
      <w:pPr>
        <w:spacing w:before="120" w:after="0" w:line="240" w:lineRule="auto"/>
        <w:ind w:firstLine="1134"/>
        <w:jc w:val="both"/>
        <w:rPr>
          <w:rFonts w:ascii="Arial" w:hAnsi="Arial" w:cs="Arial"/>
          <w:sz w:val="24"/>
          <w:szCs w:val="24"/>
        </w:rPr>
      </w:pPr>
      <w:r w:rsidRPr="00E17FE3">
        <w:rPr>
          <w:rFonts w:ascii="Arial" w:hAnsi="Arial" w:cs="Arial"/>
          <w:b/>
          <w:sz w:val="24"/>
          <w:szCs w:val="24"/>
        </w:rPr>
        <w:t>Art. 13</w:t>
      </w:r>
      <w:r w:rsidRPr="00E17FE3">
        <w:rPr>
          <w:rFonts w:ascii="Arial" w:hAnsi="Arial" w:cs="Arial"/>
          <w:sz w:val="24"/>
          <w:szCs w:val="24"/>
        </w:rPr>
        <w:t>. Fica a Presidência do Tribunal autorizada a expedir os atos necessários à regulamentação desta Resolução e dirimir os casos omissos.</w:t>
      </w:r>
    </w:p>
    <w:p w14:paraId="0356F107" w14:textId="77777777" w:rsidR="003546F5" w:rsidRPr="00E17FE3" w:rsidRDefault="003546F5" w:rsidP="000258EA">
      <w:pPr>
        <w:spacing w:before="120" w:after="0" w:line="240" w:lineRule="auto"/>
        <w:ind w:firstLine="1134"/>
        <w:jc w:val="both"/>
        <w:rPr>
          <w:rFonts w:ascii="Arial" w:hAnsi="Arial" w:cs="Arial"/>
          <w:sz w:val="24"/>
          <w:szCs w:val="24"/>
        </w:rPr>
      </w:pPr>
      <w:r w:rsidRPr="00E17FE3">
        <w:rPr>
          <w:rFonts w:ascii="Arial" w:hAnsi="Arial" w:cs="Arial"/>
          <w:b/>
          <w:sz w:val="24"/>
          <w:szCs w:val="24"/>
        </w:rPr>
        <w:t>Art. 14</w:t>
      </w:r>
      <w:r w:rsidRPr="00E17FE3">
        <w:rPr>
          <w:rFonts w:ascii="Arial" w:hAnsi="Arial" w:cs="Arial"/>
          <w:sz w:val="24"/>
          <w:szCs w:val="24"/>
        </w:rPr>
        <w:t>. Esta Resolução entra em vigor na data de sua publicação.</w:t>
      </w:r>
    </w:p>
    <w:p w14:paraId="39694E4B" w14:textId="77777777" w:rsidR="003546F5" w:rsidRPr="00E17FE3" w:rsidRDefault="003546F5" w:rsidP="005B5D27">
      <w:pPr>
        <w:spacing w:before="360" w:after="0" w:line="240" w:lineRule="auto"/>
        <w:jc w:val="center"/>
        <w:rPr>
          <w:rFonts w:ascii="Arial" w:hAnsi="Arial" w:cs="Arial"/>
          <w:sz w:val="24"/>
          <w:szCs w:val="24"/>
        </w:rPr>
      </w:pPr>
      <w:r w:rsidRPr="00E17FE3">
        <w:rPr>
          <w:rFonts w:ascii="Arial" w:hAnsi="Arial" w:cs="Arial"/>
          <w:sz w:val="24"/>
          <w:szCs w:val="24"/>
        </w:rPr>
        <w:t xml:space="preserve">Curitiba, </w:t>
      </w:r>
      <w:r w:rsidR="009B7426" w:rsidRPr="00E17FE3">
        <w:rPr>
          <w:rFonts w:ascii="Arial" w:hAnsi="Arial" w:cs="Arial"/>
          <w:sz w:val="24"/>
          <w:szCs w:val="24"/>
        </w:rPr>
        <w:t>3 de julho de 2019</w:t>
      </w:r>
      <w:r w:rsidRPr="00E17FE3">
        <w:rPr>
          <w:rFonts w:ascii="Arial" w:hAnsi="Arial" w:cs="Arial"/>
          <w:sz w:val="24"/>
          <w:szCs w:val="24"/>
        </w:rPr>
        <w:t>.</w:t>
      </w:r>
    </w:p>
    <w:p w14:paraId="17ED684B" w14:textId="77777777" w:rsidR="009B7426" w:rsidRPr="00E17FE3" w:rsidRDefault="009B7426" w:rsidP="009B7426">
      <w:pPr>
        <w:spacing w:before="360" w:after="0" w:line="240" w:lineRule="auto"/>
        <w:jc w:val="center"/>
        <w:rPr>
          <w:rFonts w:ascii="Arial" w:hAnsi="Arial" w:cs="Arial"/>
          <w:color w:val="808080"/>
          <w:sz w:val="24"/>
          <w:szCs w:val="24"/>
        </w:rPr>
      </w:pPr>
      <w:r w:rsidRPr="00E17FE3">
        <w:rPr>
          <w:rFonts w:ascii="Arial" w:hAnsi="Arial" w:cs="Arial"/>
          <w:color w:val="808080"/>
          <w:sz w:val="24"/>
          <w:szCs w:val="24"/>
        </w:rPr>
        <w:t>- assinatura digital -</w:t>
      </w:r>
    </w:p>
    <w:p w14:paraId="09C6BEF2" w14:textId="77777777" w:rsidR="009B7426" w:rsidRPr="00E17FE3" w:rsidRDefault="009B7426" w:rsidP="009B7426">
      <w:pPr>
        <w:spacing w:after="0" w:line="240" w:lineRule="auto"/>
        <w:jc w:val="center"/>
        <w:rPr>
          <w:rFonts w:ascii="Arial" w:hAnsi="Arial" w:cs="Arial"/>
          <w:b/>
          <w:sz w:val="24"/>
          <w:szCs w:val="24"/>
        </w:rPr>
      </w:pPr>
      <w:bookmarkStart w:id="18" w:name="_Hlk536444639"/>
      <w:r w:rsidRPr="00E17FE3">
        <w:rPr>
          <w:rFonts w:ascii="Arial" w:hAnsi="Arial" w:cs="Arial"/>
          <w:sz w:val="24"/>
          <w:szCs w:val="24"/>
        </w:rPr>
        <w:t>Conselheiro</w:t>
      </w:r>
      <w:r w:rsidRPr="00E17FE3">
        <w:rPr>
          <w:rFonts w:ascii="Arial" w:hAnsi="Arial" w:cs="Arial"/>
          <w:b/>
          <w:sz w:val="24"/>
          <w:szCs w:val="24"/>
        </w:rPr>
        <w:t xml:space="preserve"> NESTOR BAPTISTA</w:t>
      </w:r>
      <w:bookmarkEnd w:id="18"/>
    </w:p>
    <w:p w14:paraId="2897F826" w14:textId="77777777" w:rsidR="001907D7" w:rsidRPr="00E17FE3" w:rsidRDefault="009B7426" w:rsidP="009B7426">
      <w:pPr>
        <w:pStyle w:val="Assina"/>
        <w:spacing w:before="0" w:after="0" w:line="240" w:lineRule="auto"/>
        <w:rPr>
          <w:szCs w:val="24"/>
        </w:rPr>
      </w:pPr>
      <w:r w:rsidRPr="00E17FE3">
        <w:rPr>
          <w:rFonts w:ascii="Arial" w:hAnsi="Arial" w:cs="Arial"/>
          <w:szCs w:val="24"/>
        </w:rPr>
        <w:t>Presidente</w:t>
      </w:r>
    </w:p>
    <w:sectPr w:rsidR="001907D7" w:rsidRPr="00E17FE3" w:rsidSect="009B7426">
      <w:headerReference w:type="default" r:id="rId80"/>
      <w:footnotePr>
        <w:numFmt w:val="chicago"/>
      </w:footnotePr>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5064EB8" w14:textId="77777777" w:rsidR="00D05567" w:rsidRDefault="00D05567" w:rsidP="003546F5">
      <w:pPr>
        <w:spacing w:after="0" w:line="240" w:lineRule="auto"/>
      </w:pPr>
      <w:r>
        <w:separator/>
      </w:r>
    </w:p>
  </w:endnote>
  <w:endnote w:type="continuationSeparator" w:id="0">
    <w:p w14:paraId="3C0FC556" w14:textId="77777777" w:rsidR="00D05567" w:rsidRDefault="00D05567" w:rsidP="0035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D07F879" w14:textId="77777777" w:rsidR="00D05567" w:rsidRDefault="00D05567" w:rsidP="003546F5">
      <w:pPr>
        <w:spacing w:after="0" w:line="240" w:lineRule="auto"/>
      </w:pPr>
      <w:r>
        <w:separator/>
      </w:r>
    </w:p>
  </w:footnote>
  <w:footnote w:type="continuationSeparator" w:id="0">
    <w:p w14:paraId="407ED385" w14:textId="77777777" w:rsidR="00D05567" w:rsidRDefault="00D05567" w:rsidP="003546F5">
      <w:pPr>
        <w:spacing w:after="0" w:line="240" w:lineRule="auto"/>
      </w:pPr>
      <w:r>
        <w:continuationSeparator/>
      </w:r>
    </w:p>
  </w:footnote>
  <w:footnote w:id="1">
    <w:p w14:paraId="6EF8217E" w14:textId="77777777" w:rsidR="00FA6594" w:rsidRPr="00D96012" w:rsidRDefault="00FA6594" w:rsidP="00FA6594">
      <w:pPr>
        <w:pStyle w:val="Textodenotaderodap"/>
        <w:spacing w:after="0" w:line="240" w:lineRule="auto"/>
        <w:jc w:val="both"/>
        <w:rPr>
          <w:rFonts w:ascii="Arial" w:hAnsi="Arial" w:cs="Arial"/>
        </w:rPr>
      </w:pPr>
      <w:r>
        <w:rPr>
          <w:rStyle w:val="Refdenotaderodap"/>
        </w:rPr>
        <w:footnoteRef/>
      </w:r>
      <w:r>
        <w:t xml:space="preserve"> </w:t>
      </w:r>
      <w:r w:rsidRPr="00D96012">
        <w:rPr>
          <w:rFonts w:ascii="Arial" w:hAnsi="Arial" w:cs="Arial"/>
          <w:b/>
        </w:rPr>
        <w:t>Notas da Biblioteca:</w:t>
      </w:r>
    </w:p>
    <w:p w14:paraId="4029BF82" w14:textId="77777777" w:rsidR="00FA6594" w:rsidRPr="00D96012" w:rsidRDefault="00FA6594" w:rsidP="00FA6594">
      <w:pPr>
        <w:pStyle w:val="Textodenotaderodap"/>
        <w:numPr>
          <w:ilvl w:val="0"/>
          <w:numId w:val="2"/>
        </w:numPr>
        <w:spacing w:after="0" w:line="240" w:lineRule="auto"/>
        <w:ind w:left="426" w:hanging="284"/>
        <w:jc w:val="both"/>
        <w:rPr>
          <w:rFonts w:ascii="Arial" w:hAnsi="Arial" w:cs="Arial"/>
        </w:rPr>
      </w:pPr>
      <w:r w:rsidRPr="00D96012">
        <w:rPr>
          <w:rFonts w:ascii="Arial" w:hAnsi="Arial" w:cs="Arial"/>
        </w:rPr>
        <w:t xml:space="preserve">Este texto não substitui o publicado no periódico: </w:t>
      </w:r>
      <w:hyperlink r:id="rId1" w:history="1">
        <w:r w:rsidR="00D96012" w:rsidRPr="00D96012">
          <w:rPr>
            <w:rStyle w:val="Hyperlink"/>
            <w:rFonts w:ascii="Arial" w:hAnsi="Arial" w:cs="Arial"/>
          </w:rPr>
          <w:t>Diário Eletrônico do Tribunal de Contas do Estado do Paraná, Curitiba, PR, n. 2098, 12 jul. 2019, p. 14-15</w:t>
        </w:r>
      </w:hyperlink>
      <w:r w:rsidR="00D96012" w:rsidRPr="00D96012">
        <w:rPr>
          <w:rFonts w:ascii="Arial" w:hAnsi="Arial" w:cs="Arial"/>
        </w:rPr>
        <w:t>.</w:t>
      </w:r>
    </w:p>
    <w:p w14:paraId="1CA4A4E3" w14:textId="01CFE1C9" w:rsidR="00045DFD" w:rsidRPr="00CE075A" w:rsidRDefault="00045DFD" w:rsidP="00045DFD">
      <w:pPr>
        <w:pStyle w:val="Textodenotaderodap"/>
        <w:numPr>
          <w:ilvl w:val="0"/>
          <w:numId w:val="2"/>
        </w:numPr>
        <w:spacing w:after="0" w:line="240" w:lineRule="auto"/>
        <w:ind w:left="426" w:hanging="284"/>
        <w:jc w:val="both"/>
        <w:rPr>
          <w:rFonts w:ascii="Arial" w:hAnsi="Arial" w:cs="Arial"/>
        </w:rPr>
      </w:pPr>
      <w:r w:rsidRPr="00CE075A">
        <w:rPr>
          <w:rFonts w:ascii="Arial" w:hAnsi="Arial" w:cs="Arial"/>
        </w:rPr>
        <w:t>Origem: Processo n. 35534-3/2019</w:t>
      </w:r>
      <w:r w:rsidRPr="00CE075A">
        <w:rPr>
          <w:rFonts w:ascii="Arial" w:hAnsi="Arial" w:cs="Arial"/>
          <w:color w:val="000000"/>
        </w:rPr>
        <w:t xml:space="preserve"> </w:t>
      </w:r>
      <w:r w:rsidRPr="00CE075A">
        <w:rPr>
          <w:rFonts w:ascii="Arial" w:hAnsi="Arial" w:cs="Arial"/>
        </w:rPr>
        <w:t xml:space="preserve">– </w:t>
      </w:r>
      <w:r w:rsidRPr="00872C23">
        <w:rPr>
          <w:rFonts w:ascii="Arial" w:hAnsi="Arial" w:cs="Arial"/>
        </w:rPr>
        <w:t>Acórdão n.</w:t>
      </w:r>
      <w:r w:rsidRPr="00872C23">
        <w:rPr>
          <w:rFonts w:ascii="Arial" w:eastAsia="Times New Roman" w:hAnsi="Arial" w:cs="Arial"/>
        </w:rPr>
        <w:t xml:space="preserve"> 1777/2019 </w:t>
      </w:r>
      <w:r w:rsidRPr="00872C23">
        <w:rPr>
          <w:rFonts w:ascii="Arial" w:hAnsi="Arial" w:cs="Arial"/>
        </w:rPr>
        <w:t>- Tribunal Pleno</w:t>
      </w:r>
      <w:r w:rsidRPr="00CE075A">
        <w:rPr>
          <w:rFonts w:ascii="Arial" w:hAnsi="Arial" w:cs="Arial"/>
        </w:rPr>
        <w:t>.</w:t>
      </w:r>
    </w:p>
    <w:p w14:paraId="282E0EA3" w14:textId="3F8FC760" w:rsidR="00872C23" w:rsidRDefault="00086CAD" w:rsidP="00872C23">
      <w:pPr>
        <w:pStyle w:val="NormalWeb"/>
        <w:numPr>
          <w:ilvl w:val="0"/>
          <w:numId w:val="2"/>
        </w:numPr>
        <w:tabs>
          <w:tab w:val="left" w:pos="426"/>
        </w:tabs>
        <w:spacing w:before="0" w:beforeAutospacing="0" w:after="0" w:line="240" w:lineRule="auto"/>
        <w:ind w:left="284" w:hanging="142"/>
        <w:textAlignment w:val="top"/>
        <w:rPr>
          <w:rFonts w:ascii="Arial" w:hAnsi="Arial" w:cs="Arial"/>
          <w:sz w:val="18"/>
          <w:szCs w:val="18"/>
        </w:rPr>
      </w:pPr>
      <w:r w:rsidRPr="00CE075A">
        <w:rPr>
          <w:rStyle w:val="Forte"/>
          <w:rFonts w:ascii="Arial" w:hAnsi="Arial" w:cs="Arial"/>
          <w:color w:val="0000FF"/>
          <w:sz w:val="20"/>
          <w:szCs w:val="20"/>
        </w:rPr>
        <w:t xml:space="preserve">Alterada </w:t>
      </w:r>
      <w:r w:rsidR="00872C23">
        <w:rPr>
          <w:rFonts w:ascii="Arial" w:hAnsi="Arial" w:cs="Arial"/>
          <w:sz w:val="20"/>
          <w:szCs w:val="20"/>
        </w:rPr>
        <w:t>pela</w:t>
      </w:r>
      <w:r w:rsidRPr="00CE075A">
        <w:rPr>
          <w:rFonts w:ascii="Arial" w:hAnsi="Arial" w:cs="Arial"/>
          <w:sz w:val="20"/>
          <w:szCs w:val="20"/>
        </w:rPr>
        <w:t xml:space="preserve"> </w:t>
      </w:r>
      <w:hyperlink r:id="rId2" w:history="1">
        <w:r w:rsidR="00872C23">
          <w:rPr>
            <w:rStyle w:val="Hyperlink"/>
            <w:rFonts w:ascii="Arial" w:hAnsi="Arial" w:cs="Arial"/>
            <w:sz w:val="20"/>
            <w:szCs w:val="20"/>
          </w:rPr>
          <w:t>Resolução n.º 84, de 26 de fevereiro de 2021</w:t>
        </w:r>
      </w:hyperlink>
      <w:r w:rsidRPr="00CE075A">
        <w:rPr>
          <w:rFonts w:ascii="Arial" w:hAnsi="Arial" w:cs="Arial"/>
          <w:sz w:val="20"/>
          <w:szCs w:val="20"/>
        </w:rPr>
        <w:t>.</w:t>
      </w:r>
    </w:p>
    <w:p w14:paraId="5252BB36" w14:textId="171F7ACC" w:rsidR="00FA6594" w:rsidRPr="00872C23" w:rsidRDefault="00086CAD" w:rsidP="00872C23">
      <w:pPr>
        <w:pStyle w:val="NormalWeb"/>
        <w:numPr>
          <w:ilvl w:val="0"/>
          <w:numId w:val="2"/>
        </w:numPr>
        <w:tabs>
          <w:tab w:val="left" w:pos="426"/>
        </w:tabs>
        <w:spacing w:before="0" w:beforeAutospacing="0" w:after="0" w:line="240" w:lineRule="auto"/>
        <w:ind w:left="284" w:hanging="142"/>
        <w:textAlignment w:val="top"/>
        <w:rPr>
          <w:rFonts w:ascii="Arial" w:hAnsi="Arial" w:cs="Arial"/>
          <w:sz w:val="18"/>
          <w:szCs w:val="18"/>
        </w:rPr>
      </w:pPr>
      <w:r w:rsidRPr="00872C23">
        <w:rPr>
          <w:rFonts w:ascii="Arial" w:hAnsi="Arial" w:cs="Arial"/>
          <w:b/>
          <w:bCs/>
          <w:color w:val="0000FF"/>
          <w:sz w:val="20"/>
          <w:szCs w:val="20"/>
        </w:rPr>
        <w:t xml:space="preserve">Alterada </w:t>
      </w:r>
      <w:r w:rsidR="00872C23">
        <w:rPr>
          <w:rFonts w:ascii="Arial" w:hAnsi="Arial" w:cs="Arial"/>
          <w:sz w:val="20"/>
          <w:szCs w:val="20"/>
        </w:rPr>
        <w:t>pela</w:t>
      </w:r>
      <w:r w:rsidRPr="00872C23">
        <w:rPr>
          <w:rFonts w:ascii="Arial" w:hAnsi="Arial" w:cs="Arial"/>
          <w:b/>
          <w:bCs/>
          <w:color w:val="0000FF"/>
          <w:sz w:val="20"/>
          <w:szCs w:val="20"/>
        </w:rPr>
        <w:t xml:space="preserve"> </w:t>
      </w:r>
      <w:hyperlink r:id="rId3" w:history="1">
        <w:r w:rsidR="00872C23">
          <w:rPr>
            <w:rStyle w:val="Hyperlink"/>
            <w:rFonts w:ascii="Arial" w:hAnsi="Arial" w:cs="Arial"/>
            <w:sz w:val="20"/>
            <w:szCs w:val="20"/>
          </w:rPr>
          <w:t>Resolução n.º 125, de 29 de janeiro de 2025.</w:t>
        </w:r>
      </w:hyperlink>
    </w:p>
    <w:p w14:paraId="7A10C864" w14:textId="5789FD38" w:rsidR="00872C23" w:rsidRPr="00872C23" w:rsidRDefault="00872C23" w:rsidP="00872C23">
      <w:pPr>
        <w:pStyle w:val="NormalWeb"/>
        <w:numPr>
          <w:ilvl w:val="0"/>
          <w:numId w:val="2"/>
        </w:numPr>
        <w:tabs>
          <w:tab w:val="left" w:pos="426"/>
        </w:tabs>
        <w:spacing w:before="0" w:beforeAutospacing="0" w:after="0" w:line="240" w:lineRule="auto"/>
        <w:ind w:left="284" w:hanging="142"/>
        <w:textAlignment w:val="top"/>
        <w:rPr>
          <w:rFonts w:ascii="Arial" w:hAnsi="Arial" w:cs="Arial"/>
          <w:sz w:val="18"/>
          <w:szCs w:val="18"/>
        </w:rPr>
      </w:pPr>
      <w:r>
        <w:rPr>
          <w:rFonts w:ascii="Arial" w:hAnsi="Arial" w:cs="Arial"/>
          <w:b/>
          <w:bCs/>
          <w:color w:val="0000FF"/>
          <w:sz w:val="20"/>
          <w:szCs w:val="20"/>
        </w:rPr>
        <w:t>Alterada</w:t>
      </w:r>
      <w:r w:rsidRPr="00872C23">
        <w:rPr>
          <w:rFonts w:ascii="Arial" w:hAnsi="Arial" w:cs="Arial"/>
          <w:color w:val="000000" w:themeColor="text1"/>
          <w:sz w:val="20"/>
          <w:szCs w:val="20"/>
        </w:rPr>
        <w:t xml:space="preserve"> </w:t>
      </w:r>
      <w:r>
        <w:rPr>
          <w:rFonts w:ascii="Arial" w:hAnsi="Arial" w:cs="Arial"/>
          <w:color w:val="000000" w:themeColor="text1"/>
          <w:sz w:val="20"/>
          <w:szCs w:val="20"/>
        </w:rPr>
        <w:t xml:space="preserve">pela </w:t>
      </w:r>
      <w:hyperlink r:id="rId4" w:history="1">
        <w:r w:rsidRPr="00872C23">
          <w:rPr>
            <w:rStyle w:val="Hyperlink"/>
            <w:rFonts w:ascii="Arial" w:hAnsi="Arial" w:cs="Arial"/>
            <w:sz w:val="20"/>
            <w:szCs w:val="20"/>
          </w:rPr>
          <w:t>Resolução n.º 139, de 3 de junho de 2026.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5F685E0" w14:textId="77777777" w:rsidR="003546F5" w:rsidRDefault="001F3DF5" w:rsidP="003546F5">
    <w:pPr>
      <w:pStyle w:val="Cabealho"/>
      <w:spacing w:before="240" w:after="0" w:line="240" w:lineRule="auto"/>
      <w:ind w:left="1134"/>
      <w:jc w:val="center"/>
      <w:rPr>
        <w:rFonts w:ascii="Arial" w:hAnsi="Arial" w:cs="Arial"/>
        <w:b/>
        <w:sz w:val="28"/>
        <w:szCs w:val="28"/>
      </w:rPr>
    </w:pPr>
    <w:r>
      <w:rPr>
        <w:noProof/>
      </w:rPr>
      <w:drawing>
        <wp:anchor distT="0" distB="0" distL="114300" distR="114300" simplePos="0" relativeHeight="251657728" behindDoc="0" locked="0" layoutInCell="1" allowOverlap="1" wp14:anchorId="31F246FA" wp14:editId="27BBE976">
          <wp:simplePos x="0" y="0"/>
          <wp:positionH relativeFrom="column">
            <wp:posOffset>35560</wp:posOffset>
          </wp:positionH>
          <wp:positionV relativeFrom="paragraph">
            <wp:posOffset>-77470</wp:posOffset>
          </wp:positionV>
          <wp:extent cx="605790" cy="712470"/>
          <wp:effectExtent l="0" t="0" r="0" b="0"/>
          <wp:wrapSquare wrapText="bothSides"/>
          <wp:docPr id="1" name="Imagem 1" descr="Descrição: logo TC colorido - medi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Descrição: logo TC colorido - medi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003546F5" w:rsidRPr="00C404BE">
      <w:rPr>
        <w:rFonts w:ascii="Arial" w:hAnsi="Arial" w:cs="Arial"/>
        <w:b/>
        <w:sz w:val="28"/>
        <w:szCs w:val="28"/>
      </w:rPr>
      <w:t>TRIBUNAL DE CONTAS DO ESTADO DO PARANÁ</w:t>
    </w:r>
  </w:p>
  <w:p w14:paraId="0D7ADF49" w14:textId="77777777" w:rsidR="000A3060" w:rsidRDefault="000A3060" w:rsidP="000A3060">
    <w:pPr>
      <w:pStyle w:val="Cabealho"/>
      <w:spacing w:before="120" w:after="120" w:line="240" w:lineRule="auto"/>
      <w:ind w:left="1134"/>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376C1D"/>
    <w:multiLevelType w:val="hybridMultilevel"/>
    <w:tmpl w:val="B6C675FA"/>
    <w:lvl w:ilvl="0" w:tplc="444807DA">
      <w:start w:val="1"/>
      <w:numFmt w:val="lowerLetter"/>
      <w:lvlText w:val="%1)"/>
      <w:lvlJc w:val="left"/>
      <w:pPr>
        <w:ind w:left="247" w:hanging="360"/>
      </w:pPr>
      <w:rPr>
        <w:rFonts w:hint="default"/>
      </w:rPr>
    </w:lvl>
    <w:lvl w:ilvl="1" w:tplc="04160019" w:tentative="1">
      <w:start w:val="1"/>
      <w:numFmt w:val="lowerLetter"/>
      <w:lvlText w:val="%2."/>
      <w:lvlJc w:val="left"/>
      <w:pPr>
        <w:ind w:left="967" w:hanging="360"/>
      </w:pPr>
    </w:lvl>
    <w:lvl w:ilvl="2" w:tplc="0416001B" w:tentative="1">
      <w:start w:val="1"/>
      <w:numFmt w:val="lowerRoman"/>
      <w:lvlText w:val="%3."/>
      <w:lvlJc w:val="right"/>
      <w:pPr>
        <w:ind w:left="1687" w:hanging="180"/>
      </w:pPr>
    </w:lvl>
    <w:lvl w:ilvl="3" w:tplc="0416000F" w:tentative="1">
      <w:start w:val="1"/>
      <w:numFmt w:val="decimal"/>
      <w:lvlText w:val="%4."/>
      <w:lvlJc w:val="left"/>
      <w:pPr>
        <w:ind w:left="2407" w:hanging="360"/>
      </w:pPr>
    </w:lvl>
    <w:lvl w:ilvl="4" w:tplc="04160019" w:tentative="1">
      <w:start w:val="1"/>
      <w:numFmt w:val="lowerLetter"/>
      <w:lvlText w:val="%5."/>
      <w:lvlJc w:val="left"/>
      <w:pPr>
        <w:ind w:left="3127" w:hanging="360"/>
      </w:pPr>
    </w:lvl>
    <w:lvl w:ilvl="5" w:tplc="0416001B" w:tentative="1">
      <w:start w:val="1"/>
      <w:numFmt w:val="lowerRoman"/>
      <w:lvlText w:val="%6."/>
      <w:lvlJc w:val="right"/>
      <w:pPr>
        <w:ind w:left="3847" w:hanging="180"/>
      </w:pPr>
    </w:lvl>
    <w:lvl w:ilvl="6" w:tplc="0416000F" w:tentative="1">
      <w:start w:val="1"/>
      <w:numFmt w:val="decimal"/>
      <w:lvlText w:val="%7."/>
      <w:lvlJc w:val="left"/>
      <w:pPr>
        <w:ind w:left="4567" w:hanging="360"/>
      </w:pPr>
    </w:lvl>
    <w:lvl w:ilvl="7" w:tplc="04160019" w:tentative="1">
      <w:start w:val="1"/>
      <w:numFmt w:val="lowerLetter"/>
      <w:lvlText w:val="%8."/>
      <w:lvlJc w:val="left"/>
      <w:pPr>
        <w:ind w:left="5287" w:hanging="360"/>
      </w:pPr>
    </w:lvl>
    <w:lvl w:ilvl="8" w:tplc="0416001B" w:tentative="1">
      <w:start w:val="1"/>
      <w:numFmt w:val="lowerRoman"/>
      <w:lvlText w:val="%9."/>
      <w:lvlJc w:val="right"/>
      <w:pPr>
        <w:ind w:left="6007" w:hanging="180"/>
      </w:pPr>
    </w:lvl>
  </w:abstractNum>
  <w:abstractNum w:abstractNumId="1" w15:restartNumberingAfterBreak="0">
    <w:nsid w:val="0CEE4155"/>
    <w:multiLevelType w:val="hybridMultilevel"/>
    <w:tmpl w:val="E1D412E6"/>
    <w:lvl w:ilvl="0" w:tplc="7F02F7BC">
      <w:start w:val="1"/>
      <w:numFmt w:val="lowerLetter"/>
      <w:lvlText w:val="%1)"/>
      <w:lvlJc w:val="left"/>
      <w:pPr>
        <w:ind w:left="720" w:hanging="360"/>
      </w:pPr>
      <w:rPr>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2207806">
    <w:abstractNumId w:val="0"/>
  </w:num>
  <w:num w:numId="2" w16cid:durableId="806245162">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F5"/>
    <w:rsid w:val="000258EA"/>
    <w:rsid w:val="00045DFD"/>
    <w:rsid w:val="00086CAD"/>
    <w:rsid w:val="000A3060"/>
    <w:rsid w:val="000C7A48"/>
    <w:rsid w:val="00181BF1"/>
    <w:rsid w:val="001907D7"/>
    <w:rsid w:val="001F3DF5"/>
    <w:rsid w:val="00344923"/>
    <w:rsid w:val="003546F5"/>
    <w:rsid w:val="003C41D2"/>
    <w:rsid w:val="00477AD6"/>
    <w:rsid w:val="004C0C0B"/>
    <w:rsid w:val="005B5D27"/>
    <w:rsid w:val="00640B0C"/>
    <w:rsid w:val="006907DC"/>
    <w:rsid w:val="0070611B"/>
    <w:rsid w:val="0078671C"/>
    <w:rsid w:val="007B635A"/>
    <w:rsid w:val="0085289F"/>
    <w:rsid w:val="0085398A"/>
    <w:rsid w:val="00872C23"/>
    <w:rsid w:val="00916E55"/>
    <w:rsid w:val="009B7426"/>
    <w:rsid w:val="009F2A58"/>
    <w:rsid w:val="00A734D0"/>
    <w:rsid w:val="00AF3FD3"/>
    <w:rsid w:val="00AF79F7"/>
    <w:rsid w:val="00BE73C8"/>
    <w:rsid w:val="00C15A55"/>
    <w:rsid w:val="00CA5349"/>
    <w:rsid w:val="00CE3022"/>
    <w:rsid w:val="00D05567"/>
    <w:rsid w:val="00D26967"/>
    <w:rsid w:val="00D96012"/>
    <w:rsid w:val="00E031D4"/>
    <w:rsid w:val="00E17FE3"/>
    <w:rsid w:val="00F623FA"/>
    <w:rsid w:val="00F91E56"/>
    <w:rsid w:val="00F96DFD"/>
    <w:rsid w:val="00FA6594"/>
    <w:rsid w:val="00FB4281"/>
    <w:rsid w:val="00FE2DB3"/>
    <w:rsid w:val="00FE4E12"/>
    <w:rsid w:val="00FF19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85A96"/>
  <w15:chartTrackingRefBased/>
  <w15:docId w15:val="{963C1CE7-E872-4CCB-A119-ACDF3E77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ssina">
    <w:name w:val="Assina"/>
    <w:basedOn w:val="Normal"/>
    <w:rsid w:val="003546F5"/>
    <w:pPr>
      <w:autoSpaceDE w:val="0"/>
      <w:autoSpaceDN w:val="0"/>
      <w:spacing w:before="60" w:after="60" w:line="360" w:lineRule="auto"/>
      <w:jc w:val="center"/>
    </w:pPr>
    <w:rPr>
      <w:rFonts w:ascii="Times New Roman" w:eastAsia="Times New Roman" w:hAnsi="Times New Roman"/>
      <w:sz w:val="24"/>
      <w:szCs w:val="20"/>
      <w:lang w:eastAsia="pt-BR"/>
    </w:rPr>
  </w:style>
  <w:style w:type="character" w:styleId="Hyperlink">
    <w:name w:val="Hyperlink"/>
    <w:uiPriority w:val="99"/>
    <w:unhideWhenUsed/>
    <w:rsid w:val="003546F5"/>
    <w:rPr>
      <w:color w:val="0000FF"/>
      <w:u w:val="single"/>
    </w:rPr>
  </w:style>
  <w:style w:type="paragraph" w:styleId="Cabealho">
    <w:name w:val="header"/>
    <w:basedOn w:val="Normal"/>
    <w:link w:val="CabealhoChar"/>
    <w:unhideWhenUsed/>
    <w:rsid w:val="003546F5"/>
    <w:pPr>
      <w:tabs>
        <w:tab w:val="center" w:pos="4252"/>
        <w:tab w:val="right" w:pos="8504"/>
      </w:tabs>
    </w:pPr>
  </w:style>
  <w:style w:type="character" w:customStyle="1" w:styleId="CabealhoChar">
    <w:name w:val="Cabeçalho Char"/>
    <w:link w:val="Cabealho"/>
    <w:rsid w:val="003546F5"/>
    <w:rPr>
      <w:sz w:val="22"/>
      <w:szCs w:val="22"/>
      <w:lang w:eastAsia="en-US"/>
    </w:rPr>
  </w:style>
  <w:style w:type="paragraph" w:styleId="Rodap">
    <w:name w:val="footer"/>
    <w:basedOn w:val="Normal"/>
    <w:link w:val="RodapChar"/>
    <w:uiPriority w:val="99"/>
    <w:unhideWhenUsed/>
    <w:rsid w:val="003546F5"/>
    <w:pPr>
      <w:tabs>
        <w:tab w:val="center" w:pos="4252"/>
        <w:tab w:val="right" w:pos="8504"/>
      </w:tabs>
    </w:pPr>
  </w:style>
  <w:style w:type="character" w:customStyle="1" w:styleId="RodapChar">
    <w:name w:val="Rodapé Char"/>
    <w:link w:val="Rodap"/>
    <w:uiPriority w:val="99"/>
    <w:rsid w:val="003546F5"/>
    <w:rPr>
      <w:sz w:val="22"/>
      <w:szCs w:val="22"/>
      <w:lang w:eastAsia="en-US"/>
    </w:rPr>
  </w:style>
  <w:style w:type="paragraph" w:customStyle="1" w:styleId="Default">
    <w:name w:val="Default"/>
    <w:rsid w:val="009B7426"/>
    <w:pPr>
      <w:autoSpaceDE w:val="0"/>
      <w:autoSpaceDN w:val="0"/>
      <w:adjustRightInd w:val="0"/>
    </w:pPr>
    <w:rPr>
      <w:rFonts w:ascii="Arial" w:hAnsi="Arial" w:cs="Arial"/>
      <w:color w:val="000000"/>
      <w:sz w:val="24"/>
      <w:szCs w:val="24"/>
      <w:lang w:eastAsia="en-US"/>
    </w:rPr>
  </w:style>
  <w:style w:type="paragraph" w:styleId="Sumrio1">
    <w:name w:val="toc 1"/>
    <w:basedOn w:val="Normal"/>
    <w:next w:val="Normal"/>
    <w:autoRedefine/>
    <w:uiPriority w:val="39"/>
    <w:unhideWhenUsed/>
    <w:rsid w:val="009B7426"/>
  </w:style>
  <w:style w:type="paragraph" w:styleId="Textodenotaderodap">
    <w:name w:val="footnote text"/>
    <w:basedOn w:val="Normal"/>
    <w:link w:val="TextodenotaderodapChar"/>
    <w:unhideWhenUsed/>
    <w:rsid w:val="000C7A48"/>
    <w:rPr>
      <w:sz w:val="20"/>
      <w:szCs w:val="20"/>
    </w:rPr>
  </w:style>
  <w:style w:type="character" w:customStyle="1" w:styleId="TextodenotaderodapChar">
    <w:name w:val="Texto de nota de rodapé Char"/>
    <w:link w:val="Textodenotaderodap"/>
    <w:rsid w:val="000C7A48"/>
    <w:rPr>
      <w:lang w:eastAsia="en-US"/>
    </w:rPr>
  </w:style>
  <w:style w:type="character" w:styleId="Refdenotaderodap">
    <w:name w:val="footnote reference"/>
    <w:uiPriority w:val="99"/>
    <w:semiHidden/>
    <w:unhideWhenUsed/>
    <w:rsid w:val="000C7A48"/>
    <w:rPr>
      <w:vertAlign w:val="superscript"/>
    </w:rPr>
  </w:style>
  <w:style w:type="character" w:styleId="Forte">
    <w:name w:val="Strong"/>
    <w:uiPriority w:val="22"/>
    <w:qFormat/>
    <w:rsid w:val="004C0C0B"/>
    <w:rPr>
      <w:b/>
      <w:bCs/>
    </w:rPr>
  </w:style>
  <w:style w:type="paragraph" w:styleId="NormalWeb">
    <w:name w:val="Normal (Web)"/>
    <w:basedOn w:val="Normal"/>
    <w:uiPriority w:val="99"/>
    <w:unhideWhenUsed/>
    <w:rsid w:val="004C0C0B"/>
    <w:pPr>
      <w:spacing w:before="100" w:beforeAutospacing="1" w:after="180" w:line="300" w:lineRule="atLeast"/>
    </w:pPr>
    <w:rPr>
      <w:rFonts w:ascii="Times New Roman" w:eastAsia="Times New Roman" w:hAnsi="Times New Roman"/>
      <w:sz w:val="24"/>
      <w:szCs w:val="24"/>
      <w:lang w:eastAsia="pt-BR"/>
    </w:rPr>
  </w:style>
  <w:style w:type="character" w:styleId="MenoPendente">
    <w:name w:val="Unresolved Mention"/>
    <w:uiPriority w:val="99"/>
    <w:semiHidden/>
    <w:unhideWhenUsed/>
    <w:rsid w:val="0070611B"/>
    <w:rPr>
      <w:color w:val="605E5C"/>
      <w:shd w:val="clear" w:color="auto" w:fill="E1DFDD"/>
    </w:rPr>
  </w:style>
  <w:style w:type="character" w:styleId="HiperlinkVisitado">
    <w:name w:val="FollowedHyperlink"/>
    <w:basedOn w:val="Fontepargpadro"/>
    <w:uiPriority w:val="99"/>
    <w:semiHidden/>
    <w:unhideWhenUsed/>
    <w:rsid w:val="00086CAD"/>
    <w:rPr>
      <w:color w:val="954F72" w:themeColor="followedHyperlink"/>
      <w:u w:val="single"/>
    </w:rPr>
  </w:style>
  <w:style w:type="paragraph" w:customStyle="1" w:styleId="ArtigosOrdinais">
    <w:name w:val="ArtigosOrdinais"/>
    <w:basedOn w:val="Normal"/>
    <w:rsid w:val="00086CAD"/>
    <w:p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443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ce.pr.gov.br/conteudo/resolucao-n-139-de-3-de-junho-de-2026.htm" TargetMode="External"/><Relationship Id="rId21" Type="http://schemas.openxmlformats.org/officeDocument/2006/relationships/hyperlink" Target="https://www.tce.pr.gov.br/conteudo/resolucao-n-139-de-3-de-junho-de-2026.htm" TargetMode="External"/><Relationship Id="rId42" Type="http://schemas.openxmlformats.org/officeDocument/2006/relationships/hyperlink" Target="https://www.tce.pr.gov.br/conteudo/resolucao-n-139-de-3-de-junho-de-2026.htm" TargetMode="External"/><Relationship Id="rId47" Type="http://schemas.openxmlformats.org/officeDocument/2006/relationships/hyperlink" Target="https://www.tce.pr.gov.br/conteudo/resolucao-n-139-de-3-de-junho-de-2026.htm" TargetMode="External"/><Relationship Id="rId63" Type="http://schemas.openxmlformats.org/officeDocument/2006/relationships/hyperlink" Target="https://www.tce.pr.gov.br/conteudo/resolucao-n-139-de-3-de-junho-de-2026.htm" TargetMode="External"/><Relationship Id="rId68" Type="http://schemas.openxmlformats.org/officeDocument/2006/relationships/hyperlink" Target="https://www.tce.pr.gov.br/conteudo/resolucao-n-139-de-3-de-junho-de-2026.htm" TargetMode="External"/><Relationship Id="rId16" Type="http://schemas.openxmlformats.org/officeDocument/2006/relationships/hyperlink" Target="https://www.tce.pr.gov.br/conteudo/resolucao-n-139-de-3-de-junho-de-2026.htm" TargetMode="External"/><Relationship Id="rId11" Type="http://schemas.openxmlformats.org/officeDocument/2006/relationships/hyperlink" Target="https://www.tce.pr.gov.br/conteudo/resolucao-n-139-de-3-de-junho-de-2026.htm" TargetMode="External"/><Relationship Id="rId32" Type="http://schemas.openxmlformats.org/officeDocument/2006/relationships/hyperlink" Target="https://www1.tce.pr.gov.br/conteudo/resolucao-n-125-de-29-de-janeiro-de-2025/360531/area/249" TargetMode="External"/><Relationship Id="rId37" Type="http://schemas.openxmlformats.org/officeDocument/2006/relationships/hyperlink" Target="https://www1.tce.pr.gov.br/conteudo/resolucao-n-84-de-26-de-fevereiro-de-2021/334179/area/249" TargetMode="External"/><Relationship Id="rId53" Type="http://schemas.openxmlformats.org/officeDocument/2006/relationships/hyperlink" Target="https://www.tce.pr.gov.br/conteudo/resolucao-n-139-de-3-de-junho-de-2026.htm" TargetMode="External"/><Relationship Id="rId58" Type="http://schemas.openxmlformats.org/officeDocument/2006/relationships/hyperlink" Target="https://www.tce.pr.gov.br/conteudo/resolucao-n-139-de-3-de-junho-de-2026.htm" TargetMode="External"/><Relationship Id="rId74" Type="http://schemas.openxmlformats.org/officeDocument/2006/relationships/hyperlink" Target="https://www.tce.pr.gov.br/conteudo/resolucao-n-139-de-3-de-junho-de-2026.htm" TargetMode="External"/><Relationship Id="rId79" Type="http://schemas.openxmlformats.org/officeDocument/2006/relationships/hyperlink" Target="https://www.tce.pr.gov.br/conteudo/resolucao-n-139-de-3-de-junho-de-2026.htm" TargetMode="External"/><Relationship Id="rId5" Type="http://schemas.openxmlformats.org/officeDocument/2006/relationships/footnotes" Target="footnotes.xml"/><Relationship Id="rId61" Type="http://schemas.openxmlformats.org/officeDocument/2006/relationships/hyperlink" Target="https://www.tce.pr.gov.br/conteudo/resolucao-n-139-de-3-de-junho-de-2026.htm" TargetMode="External"/><Relationship Id="rId82" Type="http://schemas.openxmlformats.org/officeDocument/2006/relationships/theme" Target="theme/theme1.xml"/><Relationship Id="rId19" Type="http://schemas.openxmlformats.org/officeDocument/2006/relationships/hyperlink" Target="https://www.tce.pr.gov.br/conteudo/resolucao-n-139-de-3-de-junho-de-2026.htm" TargetMode="External"/><Relationship Id="rId14" Type="http://schemas.openxmlformats.org/officeDocument/2006/relationships/hyperlink" Target="https://www.tce.pr.gov.br/conteudo/resolucao-n-139-de-3-de-junho-de-2026.htm" TargetMode="External"/><Relationship Id="rId22" Type="http://schemas.openxmlformats.org/officeDocument/2006/relationships/hyperlink" Target="https://www.tce.pr.gov.br/conteudo/resolucao-n-139-de-3-de-junho-de-2026.htm" TargetMode="External"/><Relationship Id="rId27" Type="http://schemas.openxmlformats.org/officeDocument/2006/relationships/hyperlink" Target="https://www.tce.pr.gov.br/conteudo/resolucao-n-139-de-3-de-junho-de-2026.htm" TargetMode="External"/><Relationship Id="rId30" Type="http://schemas.openxmlformats.org/officeDocument/2006/relationships/hyperlink" Target="https://www.tce.pr.gov.br/conteudo/resolucao-n-139-de-3-de-junho-de-2026.htm" TargetMode="External"/><Relationship Id="rId35" Type="http://schemas.openxmlformats.org/officeDocument/2006/relationships/hyperlink" Target="https://www1.tce.pr.gov.br/conteudo/resolucao-n-84-de-26-de-fevereiro-de-2021/334179/area/249" TargetMode="External"/><Relationship Id="rId43" Type="http://schemas.openxmlformats.org/officeDocument/2006/relationships/hyperlink" Target="https://www.tce.pr.gov.br/conteudo/resolucao-n-139-de-3-de-junho-de-2026.htm" TargetMode="External"/><Relationship Id="rId48" Type="http://schemas.openxmlformats.org/officeDocument/2006/relationships/hyperlink" Target="https://www.tce.pr.gov.br/conteudo/resolucao-n-139-de-3-de-junho-de-2026.htm" TargetMode="External"/><Relationship Id="rId56" Type="http://schemas.openxmlformats.org/officeDocument/2006/relationships/hyperlink" Target="https://www.tce.pr.gov.br/conteudo/resolucao-n-139-de-3-de-junho-de-2026.htm" TargetMode="External"/><Relationship Id="rId64" Type="http://schemas.openxmlformats.org/officeDocument/2006/relationships/hyperlink" Target="https://www.tce.pr.gov.br/conteudo/resolucao-n-139-de-3-de-junho-de-2026.htm" TargetMode="External"/><Relationship Id="rId69" Type="http://schemas.openxmlformats.org/officeDocument/2006/relationships/hyperlink" Target="https://www.tce.pr.gov.br/conteudo/resolucao-n-139-de-3-de-junho-de-2026.htm" TargetMode="External"/><Relationship Id="rId77" Type="http://schemas.openxmlformats.org/officeDocument/2006/relationships/hyperlink" Target="https://www.tce.pr.gov.br/conteudo/resolucao-n-139-de-3-de-junho-de-2026.htm" TargetMode="External"/><Relationship Id="rId8" Type="http://schemas.openxmlformats.org/officeDocument/2006/relationships/hyperlink" Target="https://www.tce.pr.gov.br/conteudo/resolucao-n-139-de-3-de-junho-de-2026.htm" TargetMode="External"/><Relationship Id="rId51" Type="http://schemas.openxmlformats.org/officeDocument/2006/relationships/hyperlink" Target="https://www.tce.pr.gov.br/conteudo/resolucao-n-139-de-3-de-junho-de-2026.htm" TargetMode="External"/><Relationship Id="rId72" Type="http://schemas.openxmlformats.org/officeDocument/2006/relationships/hyperlink" Target="https://www.tce.pr.gov.br/conteudo/resolucao-n-139-de-3-de-junho-de-2026.htm"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tce.pr.gov.br/conteudo/resolucao-n-139-de-3-de-junho-de-2026.htm" TargetMode="External"/><Relationship Id="rId17" Type="http://schemas.openxmlformats.org/officeDocument/2006/relationships/hyperlink" Target="https://www.tce.pr.gov.br/conteudo/resolucao-n-139-de-3-de-junho-de-2026.htm" TargetMode="External"/><Relationship Id="rId25" Type="http://schemas.openxmlformats.org/officeDocument/2006/relationships/hyperlink" Target="https://www.tce.pr.gov.br/conteudo/resolucao-n-139-de-3-de-junho-de-2026.htm" TargetMode="External"/><Relationship Id="rId33" Type="http://schemas.openxmlformats.org/officeDocument/2006/relationships/hyperlink" Target="https://www1.tce.pr.gov.br/conteudo/resolucao-n-84-de-26-de-fevereiro-de-2021/334179/area/249" TargetMode="External"/><Relationship Id="rId38" Type="http://schemas.openxmlformats.org/officeDocument/2006/relationships/hyperlink" Target="https://www.tce.pr.gov.br/conteudo/resolucao-n-139-de-3-de-junho-de-2026.htm" TargetMode="External"/><Relationship Id="rId46" Type="http://schemas.openxmlformats.org/officeDocument/2006/relationships/hyperlink" Target="https://www.tce.pr.gov.br/conteudo/resolucao-n-139-de-3-de-junho-de-2026.htm" TargetMode="External"/><Relationship Id="rId59" Type="http://schemas.openxmlformats.org/officeDocument/2006/relationships/hyperlink" Target="https://www.tce.pr.gov.br/conteudo/resolucao-n-139-de-3-de-junho-de-2026.htm" TargetMode="External"/><Relationship Id="rId67" Type="http://schemas.openxmlformats.org/officeDocument/2006/relationships/hyperlink" Target="https://www.tce.pr.gov.br/conteudo/resolucao-n-139-de-3-de-junho-de-2026.htm" TargetMode="External"/><Relationship Id="rId20" Type="http://schemas.openxmlformats.org/officeDocument/2006/relationships/hyperlink" Target="https://www.tce.pr.gov.br/conteudo/resolucao-n-139-de-3-de-junho-de-2026.htm" TargetMode="External"/><Relationship Id="rId41" Type="http://schemas.openxmlformats.org/officeDocument/2006/relationships/hyperlink" Target="https://www.tce.pr.gov.br/conteudo/resolucao-n-139-de-3-de-junho-de-2026.htm" TargetMode="External"/><Relationship Id="rId54" Type="http://schemas.openxmlformats.org/officeDocument/2006/relationships/hyperlink" Target="https://www.tce.pr.gov.br/conteudo/resolucao-n-139-de-3-de-junho-de-2026.htm" TargetMode="External"/><Relationship Id="rId62" Type="http://schemas.openxmlformats.org/officeDocument/2006/relationships/hyperlink" Target="https://www.tce.pr.gov.br/conteudo/resolucao-n-139-de-3-de-junho-de-2026.htm" TargetMode="External"/><Relationship Id="rId70" Type="http://schemas.openxmlformats.org/officeDocument/2006/relationships/hyperlink" Target="https://www.tce.pr.gov.br/conteudo/resolucao-n-139-de-3-de-junho-de-2026.htm" TargetMode="External"/><Relationship Id="rId75" Type="http://schemas.openxmlformats.org/officeDocument/2006/relationships/hyperlink" Target="https://www.tce.pr.gov.br/conteudo/resolucao-n-139-de-3-de-junho-de-2026.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ce.pr.gov.br/conteudo/resolucao-n-139-de-3-de-junho-de-2026.htm" TargetMode="External"/><Relationship Id="rId23" Type="http://schemas.openxmlformats.org/officeDocument/2006/relationships/hyperlink" Target="https://www.tce.pr.gov.br/conteudo/resolucao-n-139-de-3-de-junho-de-2026.htm" TargetMode="External"/><Relationship Id="rId28" Type="http://schemas.openxmlformats.org/officeDocument/2006/relationships/hyperlink" Target="https://www.tce.pr.gov.br/conteudo/resolucao-n-139-de-3-de-junho-de-2026.htm" TargetMode="External"/><Relationship Id="rId36" Type="http://schemas.openxmlformats.org/officeDocument/2006/relationships/hyperlink" Target="https://www1.tce.pr.gov.br/conteudo/resolucao-n-84-de-26-de-fevereiro-de-2021/334179/area/249" TargetMode="External"/><Relationship Id="rId49" Type="http://schemas.openxmlformats.org/officeDocument/2006/relationships/hyperlink" Target="https://www.tce.pr.gov.br/conteudo/resolucao-n-139-de-3-de-junho-de-2026.htm" TargetMode="External"/><Relationship Id="rId57" Type="http://schemas.openxmlformats.org/officeDocument/2006/relationships/hyperlink" Target="https://www.tce.pr.gov.br/conteudo/resolucao-n-139-de-3-de-junho-de-2026.htm" TargetMode="External"/><Relationship Id="rId10" Type="http://schemas.openxmlformats.org/officeDocument/2006/relationships/hyperlink" Target="https://www.tce.pr.gov.br/conteudo/resolucao-n-139-de-3-de-junho-de-2026.htm" TargetMode="External"/><Relationship Id="rId31" Type="http://schemas.openxmlformats.org/officeDocument/2006/relationships/hyperlink" Target="https://www.tce.pr.gov.br/conteudo/resolucao-n-139-de-3-de-junho-de-2026.htm" TargetMode="External"/><Relationship Id="rId44" Type="http://schemas.openxmlformats.org/officeDocument/2006/relationships/hyperlink" Target="https://www.tce.pr.gov.br/conteudo/resolucao-n-139-de-3-de-junho-de-2026.htm" TargetMode="External"/><Relationship Id="rId52" Type="http://schemas.openxmlformats.org/officeDocument/2006/relationships/hyperlink" Target="https://www.tce.pr.gov.br/conteudo/resolucao-n-139-de-3-de-junho-de-2026.htm" TargetMode="External"/><Relationship Id="rId60" Type="http://schemas.openxmlformats.org/officeDocument/2006/relationships/hyperlink" Target="https://www.tce.pr.gov.br/conteudo/resolucao-n-139-de-3-de-junho-de-2026.htm" TargetMode="External"/><Relationship Id="rId65" Type="http://schemas.openxmlformats.org/officeDocument/2006/relationships/hyperlink" Target="https://www.tce.pr.gov.br/conteudo/resolucao-n-139-de-3-de-junho-de-2026.htm" TargetMode="External"/><Relationship Id="rId73" Type="http://schemas.openxmlformats.org/officeDocument/2006/relationships/hyperlink" Target="https://www.tce.pr.gov.br/conteudo/resolucao-n-139-de-3-de-junho-de-2026.htm" TargetMode="External"/><Relationship Id="rId78" Type="http://schemas.openxmlformats.org/officeDocument/2006/relationships/hyperlink" Target="https://www.tce.pr.gov.br/conteudo/resolucao-n-139-de-3-de-junho-de-2026.htm"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ce.pr.gov.br/conteudo/resolucao-n-139-de-3-de-junho-de-2026.htm" TargetMode="External"/><Relationship Id="rId13" Type="http://schemas.openxmlformats.org/officeDocument/2006/relationships/hyperlink" Target="https://www.tce.pr.gov.br/conteudo/resolucao-n-139-de-3-de-junho-de-2026.htm" TargetMode="External"/><Relationship Id="rId18" Type="http://schemas.openxmlformats.org/officeDocument/2006/relationships/hyperlink" Target="https://www.tce.pr.gov.br/conteudo/resolucao-n-139-de-3-de-junho-de-2026.htm" TargetMode="External"/><Relationship Id="rId39" Type="http://schemas.openxmlformats.org/officeDocument/2006/relationships/hyperlink" Target="https://www.tce.pr.gov.br/conteudo/resolucao-n-139-de-3-de-junho-de-2026.htm" TargetMode="External"/><Relationship Id="rId34" Type="http://schemas.openxmlformats.org/officeDocument/2006/relationships/hyperlink" Target="https://www1.tce.pr.gov.br/conteudo/resolucao-n-84-de-26-de-fevereiro-de-2021/334179/area/249" TargetMode="External"/><Relationship Id="rId50" Type="http://schemas.openxmlformats.org/officeDocument/2006/relationships/hyperlink" Target="https://www.tce.pr.gov.br/conteudo/resolucao-n-139-de-3-de-junho-de-2026.htm" TargetMode="External"/><Relationship Id="rId55" Type="http://schemas.openxmlformats.org/officeDocument/2006/relationships/hyperlink" Target="https://www.tce.pr.gov.br/conteudo/resolucao-n-139-de-3-de-junho-de-2026.htm" TargetMode="External"/><Relationship Id="rId76" Type="http://schemas.openxmlformats.org/officeDocument/2006/relationships/hyperlink" Target="https://www1.tce.pr.gov.br/conteudo/resolucao-n-125-de-29-de-janeiro-de-2025/360531/area/249" TargetMode="External"/><Relationship Id="rId7" Type="http://schemas.openxmlformats.org/officeDocument/2006/relationships/hyperlink" Target="https://www.tce.pr.gov.br/conteudo/resolucao-n-139-de-3-de-junho-de-2026.htm" TargetMode="External"/><Relationship Id="rId71" Type="http://schemas.openxmlformats.org/officeDocument/2006/relationships/hyperlink" Target="https://www.tce.pr.gov.br/conteudo/resolucao-n-139-de-3-de-junho-de-2026.htm" TargetMode="External"/><Relationship Id="rId2" Type="http://schemas.openxmlformats.org/officeDocument/2006/relationships/styles" Target="styles.xml"/><Relationship Id="rId29" Type="http://schemas.openxmlformats.org/officeDocument/2006/relationships/hyperlink" Target="https://www.tce.pr.gov.br/conteudo/resolucao-n-139-de-3-de-junho-de-2026.htm" TargetMode="External"/><Relationship Id="rId24" Type="http://schemas.openxmlformats.org/officeDocument/2006/relationships/hyperlink" Target="https://www.tce.pr.gov.br/conteudo/resolucao-n-139-de-3-de-junho-de-2026.htm" TargetMode="External"/><Relationship Id="rId40" Type="http://schemas.openxmlformats.org/officeDocument/2006/relationships/hyperlink" Target="https://www.tce.pr.gov.br/conteudo/resolucao-n-139-de-3-de-junho-de-2026.htm" TargetMode="External"/><Relationship Id="rId45" Type="http://schemas.openxmlformats.org/officeDocument/2006/relationships/hyperlink" Target="https://www.tce.pr.gov.br/conteudo/resolucao-n-139-de-3-de-junho-de-2026.htm" TargetMode="External"/><Relationship Id="rId66" Type="http://schemas.openxmlformats.org/officeDocument/2006/relationships/hyperlink" Target="https://www.tce.pr.gov.br/conteudo/resolucao-n-139-de-3-de-junho-de-2026.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resolucao-n-125-de-29-de-janeiro-de-2025/360531/area/249" TargetMode="External"/><Relationship Id="rId2" Type="http://schemas.openxmlformats.org/officeDocument/2006/relationships/hyperlink" Target="https://www1.tce.pr.gov.br/conteudo/resolucao-n-72-de-3-de-julho-de-2019/322903/area/249" TargetMode="External"/><Relationship Id="rId1" Type="http://schemas.openxmlformats.org/officeDocument/2006/relationships/hyperlink" Target="http://www1.tce.pr.gov.br/multimidia/2019/7/pdf/00337988.pdf" TargetMode="External"/><Relationship Id="rId4" Type="http://schemas.openxmlformats.org/officeDocument/2006/relationships/hyperlink" Target="https://www.tce.pr.gov.br/conteudo/resolucao-n-139-de-3-de-junho-de-202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5337</Words>
  <Characters>29675</Characters>
  <Application>Microsoft Office Word</Application>
  <DocSecurity>0</DocSecurity>
  <Lines>618</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34688</CharactersWithSpaces>
  <SharedDoc>false</SharedDoc>
  <HLinks>
    <vt:vector size="36" baseType="variant">
      <vt:variant>
        <vt:i4>13893834</vt:i4>
      </vt:variant>
      <vt:variant>
        <vt:i4>32</vt:i4>
      </vt:variant>
      <vt:variant>
        <vt:i4>0</vt:i4>
      </vt:variant>
      <vt:variant>
        <vt:i4>5</vt:i4>
      </vt:variant>
      <vt:variant>
        <vt:lpwstr>\\beta\GCIZL\2019\ATOS NORMATIVOS\RESOLUÇÕES\Resolução nº ... - dispõe sobre a Política de Gestão de Riscos do Tribunal.doc</vt:lpwstr>
      </vt:variant>
      <vt:variant>
        <vt:lpwstr>_Toc10714176</vt:lpwstr>
      </vt:variant>
      <vt:variant>
        <vt:i4>14090442</vt:i4>
      </vt:variant>
      <vt:variant>
        <vt:i4>26</vt:i4>
      </vt:variant>
      <vt:variant>
        <vt:i4>0</vt:i4>
      </vt:variant>
      <vt:variant>
        <vt:i4>5</vt:i4>
      </vt:variant>
      <vt:variant>
        <vt:lpwstr>\\beta\GCIZL\2019\ATOS NORMATIVOS\RESOLUÇÕES\Resolução nº ... - dispõe sobre a Política de Gestão de Riscos do Tribunal.doc</vt:lpwstr>
      </vt:variant>
      <vt:variant>
        <vt:lpwstr>_Toc10714175</vt:lpwstr>
      </vt:variant>
      <vt:variant>
        <vt:i4>14024906</vt:i4>
      </vt:variant>
      <vt:variant>
        <vt:i4>20</vt:i4>
      </vt:variant>
      <vt:variant>
        <vt:i4>0</vt:i4>
      </vt:variant>
      <vt:variant>
        <vt:i4>5</vt:i4>
      </vt:variant>
      <vt:variant>
        <vt:lpwstr>\\beta\GCIZL\2019\ATOS NORMATIVOS\RESOLUÇÕES\Resolução nº ... - dispõe sobre a Política de Gestão de Riscos do Tribunal.doc</vt:lpwstr>
      </vt:variant>
      <vt:variant>
        <vt:lpwstr>_Toc10714174</vt:lpwstr>
      </vt:variant>
      <vt:variant>
        <vt:i4>13697226</vt:i4>
      </vt:variant>
      <vt:variant>
        <vt:i4>14</vt:i4>
      </vt:variant>
      <vt:variant>
        <vt:i4>0</vt:i4>
      </vt:variant>
      <vt:variant>
        <vt:i4>5</vt:i4>
      </vt:variant>
      <vt:variant>
        <vt:lpwstr>\\beta\GCIZL\2019\ATOS NORMATIVOS\RESOLUÇÕES\Resolução nº ... - dispõe sobre a Política de Gestão de Riscos do Tribunal.doc</vt:lpwstr>
      </vt:variant>
      <vt:variant>
        <vt:lpwstr>_Toc10714173</vt:lpwstr>
      </vt:variant>
      <vt:variant>
        <vt:i4>13631690</vt:i4>
      </vt:variant>
      <vt:variant>
        <vt:i4>8</vt:i4>
      </vt:variant>
      <vt:variant>
        <vt:i4>0</vt:i4>
      </vt:variant>
      <vt:variant>
        <vt:i4>5</vt:i4>
      </vt:variant>
      <vt:variant>
        <vt:lpwstr>\\beta\GCIZL\2019\ATOS NORMATIVOS\RESOLUÇÕES\Resolução nº ... - dispõe sobre a Política de Gestão de Riscos do Tribunal.doc</vt:lpwstr>
      </vt:variant>
      <vt:variant>
        <vt:lpwstr>_Toc10714172</vt:lpwstr>
      </vt:variant>
      <vt:variant>
        <vt:i4>13828298</vt:i4>
      </vt:variant>
      <vt:variant>
        <vt:i4>2</vt:i4>
      </vt:variant>
      <vt:variant>
        <vt:i4>0</vt:i4>
      </vt:variant>
      <vt:variant>
        <vt:i4>5</vt:i4>
      </vt:variant>
      <vt:variant>
        <vt:lpwstr>\\beta\GCIZL\2019\ATOS NORMATIVOS\RESOLUÇÕES\Resolução nº ... - dispõe sobre a Política de Gestão de Riscos do Tribunal.doc</vt:lpwstr>
      </vt:variant>
      <vt:variant>
        <vt:lpwstr>_Toc10714171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Bueno dos Santos</dc:creator>
  <cp:keywords/>
  <dc:description/>
  <cp:lastModifiedBy>Fernando Barros</cp:lastModifiedBy>
  <cp:revision>3</cp:revision>
  <cp:lastPrinted>2026-07-07T05:13:00Z</cp:lastPrinted>
  <dcterms:created xsi:type="dcterms:W3CDTF">2026-07-07T05:13:00Z</dcterms:created>
  <dcterms:modified xsi:type="dcterms:W3CDTF">2026-07-07T05:13:00Z</dcterms:modified>
</cp:coreProperties>
</file>