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D40F" w14:textId="3A75C0BA" w:rsidR="00086AA8" w:rsidRDefault="00017EB9" w:rsidP="002B058E">
      <w:pPr>
        <w:pStyle w:val="Cabealho"/>
        <w:spacing w:line="276" w:lineRule="auto"/>
        <w:rPr>
          <w:rFonts w:ascii="Arial" w:hAnsi="Arial" w:cs="Arial"/>
          <w:sz w:val="20"/>
          <w:szCs w:val="20"/>
        </w:rPr>
      </w:pPr>
      <w:r w:rsidRPr="002B058E">
        <w:rPr>
          <w:rFonts w:ascii="Arial" w:hAnsi="Arial" w:cs="Arial"/>
          <w:noProof/>
          <w:sz w:val="20"/>
          <w:szCs w:val="20"/>
        </w:rPr>
        <mc:AlternateContent>
          <mc:Choice Requires="wps">
            <w:drawing>
              <wp:anchor distT="45720" distB="45720" distL="114300" distR="114300" simplePos="0" relativeHeight="251672064" behindDoc="0" locked="0" layoutInCell="1" allowOverlap="1" wp14:anchorId="092CB808" wp14:editId="20C86028">
                <wp:simplePos x="0" y="0"/>
                <wp:positionH relativeFrom="margin">
                  <wp:posOffset>-775335</wp:posOffset>
                </wp:positionH>
                <wp:positionV relativeFrom="paragraph">
                  <wp:posOffset>-413385</wp:posOffset>
                </wp:positionV>
                <wp:extent cx="3835400" cy="449580"/>
                <wp:effectExtent l="0" t="0" r="0" b="0"/>
                <wp:wrapNone/>
                <wp:docPr id="11946406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449580"/>
                        </a:xfrm>
                        <a:prstGeom prst="rect">
                          <a:avLst/>
                        </a:prstGeom>
                        <a:noFill/>
                        <a:ln w="9525">
                          <a:noFill/>
                          <a:miter lim="800000"/>
                          <a:headEnd/>
                          <a:tailEnd/>
                        </a:ln>
                      </wps:spPr>
                      <wps:txbx>
                        <w:txbxContent>
                          <w:p w14:paraId="0E3773ED" w14:textId="77777777" w:rsidR="00660E2F" w:rsidRPr="00017EB9" w:rsidRDefault="00660E2F" w:rsidP="00660E2F">
                            <w:pPr>
                              <w:rPr>
                                <w:rFonts w:ascii="Arial" w:hAnsi="Arial" w:cs="Arial"/>
                                <w:b/>
                                <w:bCs/>
                                <w:color w:val="FFFFFF" w:themeColor="background1"/>
                                <w:sz w:val="56"/>
                                <w:szCs w:val="56"/>
                              </w:rPr>
                            </w:pPr>
                            <w:r w:rsidRPr="00017EB9">
                              <w:rPr>
                                <w:rFonts w:ascii="Arial" w:hAnsi="Arial" w:cs="Arial"/>
                                <w:b/>
                                <w:bCs/>
                                <w:color w:val="FFFFFF" w:themeColor="background1"/>
                                <w:sz w:val="56"/>
                                <w:szCs w:val="56"/>
                              </w:rPr>
                              <w:t>TESES AMBIENTAIS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2CB808" id="_x0000_t202" coordsize="21600,21600" o:spt="202" path="m,l,21600r21600,l21600,xe">
                <v:stroke joinstyle="miter"/>
                <v:path gradientshapeok="t" o:connecttype="rect"/>
              </v:shapetype>
              <v:shape id="Caixa de Texto 2" o:spid="_x0000_s1026" type="#_x0000_t202" style="position:absolute;margin-left:-61.05pt;margin-top:-32.55pt;width:302pt;height:35.4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" filled="f" stroked="f">
                <v:textbox>
                  <w:txbxContent>
                    <w:p w14:paraId="0E3773ED" w14:textId="77777777" w:rsidR="00660E2F" w:rsidRPr="00017EB9" w:rsidRDefault="00660E2F" w:rsidP="00660E2F">
                      <w:pPr>
                        <w:rPr>
                          <w:rFonts w:ascii="Arial" w:hAnsi="Arial" w:cs="Arial"/>
                          <w:b/>
                          <w:bCs/>
                          <w:color w:val="FFFFFF" w:themeColor="background1"/>
                          <w:sz w:val="56"/>
                          <w:szCs w:val="56"/>
                        </w:rPr>
                      </w:pPr>
                      <w:r w:rsidRPr="00017EB9">
                        <w:rPr>
                          <w:rFonts w:ascii="Arial" w:hAnsi="Arial" w:cs="Arial"/>
                          <w:b/>
                          <w:bCs/>
                          <w:color w:val="FFFFFF" w:themeColor="background1"/>
                          <w:sz w:val="56"/>
                          <w:szCs w:val="56"/>
                        </w:rPr>
                        <w:t>TESES AMBIENTAIS</w:t>
                      </w:r>
                    </w:p>
                  </w:txbxContent>
                </v:textbox>
                <w10:wrap anchorx="margin"/>
              </v:shape>
            </w:pict>
          </mc:Fallback>
        </mc:AlternateContent>
      </w:r>
      <w:r w:rsidRPr="002B058E">
        <w:rPr>
          <w:rFonts w:ascii="Arial" w:hAnsi="Arial" w:cs="Arial"/>
          <w:noProof/>
          <w:sz w:val="20"/>
          <w:szCs w:val="20"/>
        </w:rPr>
        <mc:AlternateContent>
          <mc:Choice Requires="wps">
            <w:drawing>
              <wp:anchor distT="45720" distB="45720" distL="114300" distR="114300" simplePos="0" relativeHeight="251670016" behindDoc="0" locked="0" layoutInCell="1" allowOverlap="1" wp14:anchorId="72075A5C" wp14:editId="12ACDC1D">
                <wp:simplePos x="0" y="0"/>
                <wp:positionH relativeFrom="margin">
                  <wp:posOffset>-768350</wp:posOffset>
                </wp:positionH>
                <wp:positionV relativeFrom="paragraph">
                  <wp:posOffset>94615</wp:posOffset>
                </wp:positionV>
                <wp:extent cx="1423035" cy="41402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414020"/>
                        </a:xfrm>
                        <a:prstGeom prst="rect">
                          <a:avLst/>
                        </a:prstGeom>
                        <a:noFill/>
                        <a:ln w="9525">
                          <a:noFill/>
                          <a:miter lim="800000"/>
                          <a:headEnd/>
                          <a:tailEnd/>
                        </a:ln>
                      </wps:spPr>
                      <wps:txbx>
                        <w:txbxContent>
                          <w:p w14:paraId="50BCFFCA" w14:textId="1F99E09F" w:rsidR="002B058E" w:rsidRPr="00017EB9" w:rsidRDefault="00017EB9">
                            <w:pPr>
                              <w:rPr>
                                <w:rFonts w:ascii="Arial" w:hAnsi="Arial" w:cs="Arial"/>
                                <w:b/>
                                <w:bCs/>
                                <w:color w:val="FFFFFF" w:themeColor="background1"/>
                                <w:sz w:val="56"/>
                                <w:szCs w:val="56"/>
                              </w:rPr>
                            </w:pPr>
                            <w:r w:rsidRPr="00017EB9">
                              <w:rPr>
                                <w:rFonts w:ascii="Arial" w:hAnsi="Arial" w:cs="Arial"/>
                                <w:b/>
                                <w:bCs/>
                                <w:color w:val="FFFFFF" w:themeColor="background1"/>
                                <w:sz w:val="44"/>
                                <w:szCs w:val="44"/>
                              </w:rPr>
                              <w:t>N.º</w:t>
                            </w:r>
                            <w:r w:rsidR="002B058E" w:rsidRPr="00017EB9">
                              <w:rPr>
                                <w:rFonts w:ascii="Arial" w:hAnsi="Arial" w:cs="Arial"/>
                                <w:b/>
                                <w:bCs/>
                                <w:color w:val="FFFFFF" w:themeColor="background1"/>
                                <w:sz w:val="56"/>
                                <w:szCs w:val="56"/>
                              </w:rPr>
                              <w:t xml:space="preserve"> </w:t>
                            </w:r>
                            <w:r w:rsidR="00D06EA7">
                              <w:rPr>
                                <w:rFonts w:ascii="Arial" w:hAnsi="Arial" w:cs="Arial"/>
                                <w:b/>
                                <w:bCs/>
                                <w:color w:val="FFFFFF" w:themeColor="background1"/>
                                <w:sz w:val="44"/>
                                <w:szCs w:val="44"/>
                              </w:rPr>
                              <w:t>4</w:t>
                            </w:r>
                            <w:r w:rsidR="006E6872">
                              <w:rPr>
                                <w:rFonts w:ascii="Arial" w:hAnsi="Arial" w:cs="Arial"/>
                                <w:b/>
                                <w:bCs/>
                                <w:color w:val="FFFFFF" w:themeColor="background1"/>
                                <w:sz w:val="44"/>
                                <w:szCs w:val="4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75A5C" id="_x0000_s1027" type="#_x0000_t202" style="position:absolute;margin-left:-60.5pt;margin-top:7.45pt;width:112.05pt;height:32.6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" filled="f" stroked="f">
                <v:textbox>
                  <w:txbxContent>
                    <w:p w14:paraId="50BCFFCA" w14:textId="1F99E09F" w:rsidR="002B058E" w:rsidRPr="00017EB9" w:rsidRDefault="00017EB9">
                      <w:pPr>
                        <w:rPr>
                          <w:rFonts w:ascii="Arial" w:hAnsi="Arial" w:cs="Arial"/>
                          <w:b/>
                          <w:bCs/>
                          <w:color w:val="FFFFFF" w:themeColor="background1"/>
                          <w:sz w:val="56"/>
                          <w:szCs w:val="56"/>
                        </w:rPr>
                      </w:pPr>
                      <w:r w:rsidRPr="00017EB9">
                        <w:rPr>
                          <w:rFonts w:ascii="Arial" w:hAnsi="Arial" w:cs="Arial"/>
                          <w:b/>
                          <w:bCs/>
                          <w:color w:val="FFFFFF" w:themeColor="background1"/>
                          <w:sz w:val="44"/>
                          <w:szCs w:val="44"/>
                        </w:rPr>
                        <w:t>N.º</w:t>
                      </w:r>
                      <w:r w:rsidR="002B058E" w:rsidRPr="00017EB9">
                        <w:rPr>
                          <w:rFonts w:ascii="Arial" w:hAnsi="Arial" w:cs="Arial"/>
                          <w:b/>
                          <w:bCs/>
                          <w:color w:val="FFFFFF" w:themeColor="background1"/>
                          <w:sz w:val="56"/>
                          <w:szCs w:val="56"/>
                        </w:rPr>
                        <w:t xml:space="preserve"> </w:t>
                      </w:r>
                      <w:r w:rsidR="00D06EA7">
                        <w:rPr>
                          <w:rFonts w:ascii="Arial" w:hAnsi="Arial" w:cs="Arial"/>
                          <w:b/>
                          <w:bCs/>
                          <w:color w:val="FFFFFF" w:themeColor="background1"/>
                          <w:sz w:val="44"/>
                          <w:szCs w:val="44"/>
                        </w:rPr>
                        <w:t>4</w:t>
                      </w:r>
                      <w:r w:rsidR="006E6872">
                        <w:rPr>
                          <w:rFonts w:ascii="Arial" w:hAnsi="Arial" w:cs="Arial"/>
                          <w:b/>
                          <w:bCs/>
                          <w:color w:val="FFFFFF" w:themeColor="background1"/>
                          <w:sz w:val="44"/>
                          <w:szCs w:val="44"/>
                        </w:rPr>
                        <w:t>3</w:t>
                      </w:r>
                    </w:p>
                  </w:txbxContent>
                </v:textbox>
                <w10:wrap anchorx="margin"/>
              </v:shape>
            </w:pict>
          </mc:Fallback>
        </mc:AlternateContent>
      </w:r>
    </w:p>
    <w:p w14:paraId="22AA43C3" w14:textId="7261E91D" w:rsidR="00674104" w:rsidRPr="002B058E" w:rsidRDefault="00086AA8" w:rsidP="00017EB9">
      <w:pPr>
        <w:pStyle w:val="Cabealho"/>
        <w:spacing w:line="276" w:lineRule="auto"/>
        <w:jc w:val="both"/>
        <w:rPr>
          <w:rFonts w:ascii="Arial" w:hAnsi="Arial" w:cs="Arial"/>
          <w:b/>
          <w:sz w:val="20"/>
          <w:szCs w:val="20"/>
        </w:rPr>
      </w:pPr>
      <w:r>
        <w:rPr>
          <w:rFonts w:ascii="Arial" w:hAnsi="Arial" w:cs="Arial"/>
          <w:b/>
          <w:noProof/>
          <w:sz w:val="28"/>
          <w:szCs w:val="28"/>
        </w:rPr>
        <w:drawing>
          <wp:anchor distT="0" distB="0" distL="114300" distR="114300" simplePos="0" relativeHeight="251665920" behindDoc="0" locked="0" layoutInCell="1" allowOverlap="1" wp14:anchorId="7E23F413" wp14:editId="5B384E38">
            <wp:simplePos x="0" y="0"/>
            <wp:positionH relativeFrom="page">
              <wp:align>left</wp:align>
            </wp:positionH>
            <wp:positionV relativeFrom="page">
              <wp:align>top</wp:align>
            </wp:positionV>
            <wp:extent cx="7578725" cy="2654300"/>
            <wp:effectExtent l="0" t="0" r="3175" b="0"/>
            <wp:wrapSquare wrapText="bothSides"/>
            <wp:docPr id="31682739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27396" name="Imagem 3"/>
                    <pic:cNvPicPr/>
                  </pic:nvPicPr>
                  <pic:blipFill>
                    <a:blip r:embed="rId12" cstate="print">
                      <a:extLst>
                        <a:ext uri="{28A0092B-C50C-407E-A947-70E740481C1C}">
                          <a14:useLocalDpi xmlns:a14="http://schemas.microsoft.com/office/drawing/2010/main" val="0"/>
                        </a:ext>
                      </a:extLst>
                    </a:blip>
                    <a:srcRect l="398" r="398"/>
                    <a:stretch>
                      <a:fillRect/>
                    </a:stretch>
                  </pic:blipFill>
                  <pic:spPr bwMode="auto">
                    <a:xfrm>
                      <a:off x="0" y="0"/>
                      <a:ext cx="7578725" cy="2654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15CB">
        <w:rPr>
          <w:rFonts w:ascii="Arial" w:hAnsi="Arial" w:cs="Arial"/>
          <w:sz w:val="20"/>
          <w:szCs w:val="20"/>
        </w:rPr>
        <w:t xml:space="preserve">Este Boletim de periodicidade </w:t>
      </w:r>
      <w:r w:rsidR="001331C5">
        <w:rPr>
          <w:rFonts w:ascii="Arial" w:hAnsi="Arial" w:cs="Arial"/>
          <w:sz w:val="20"/>
          <w:szCs w:val="20"/>
        </w:rPr>
        <w:t>bimestral</w:t>
      </w:r>
      <w:r w:rsidR="004215CB">
        <w:rPr>
          <w:rFonts w:ascii="Arial" w:hAnsi="Arial" w:cs="Arial"/>
          <w:sz w:val="20"/>
          <w:szCs w:val="20"/>
        </w:rPr>
        <w:t xml:space="preserve"> contém informações sintéticas </w:t>
      </w:r>
      <w:r w:rsidR="00324281">
        <w:rPr>
          <w:rFonts w:ascii="Arial" w:hAnsi="Arial" w:cs="Arial"/>
          <w:sz w:val="20"/>
          <w:szCs w:val="20"/>
        </w:rPr>
        <w:t>de julgados relacionados ao</w:t>
      </w:r>
      <w:r w:rsidR="004215CB">
        <w:rPr>
          <w:rFonts w:ascii="Arial" w:hAnsi="Arial" w:cs="Arial"/>
          <w:sz w:val="20"/>
          <w:szCs w:val="20"/>
        </w:rPr>
        <w:t xml:space="preserve"> Direito Ambiental proferidas pelo Supremo Tribunal Federal - STF, Superior Tribunal de Justiça - STJ, Tribunal de Contas da União - TCU e do Tribunal de Contas do Paraná </w:t>
      </w:r>
      <w:r w:rsidR="00017EB9">
        <w:rPr>
          <w:rFonts w:ascii="Arial" w:hAnsi="Arial" w:cs="Arial"/>
          <w:sz w:val="20"/>
          <w:szCs w:val="20"/>
        </w:rPr>
        <w:t>–</w:t>
      </w:r>
      <w:r w:rsidR="004215CB">
        <w:rPr>
          <w:rFonts w:ascii="Arial" w:hAnsi="Arial" w:cs="Arial"/>
          <w:sz w:val="20"/>
          <w:szCs w:val="20"/>
        </w:rPr>
        <w:t xml:space="preserve"> TCE</w:t>
      </w:r>
      <w:r w:rsidR="00017EB9">
        <w:rPr>
          <w:rFonts w:ascii="Arial" w:hAnsi="Arial" w:cs="Arial"/>
          <w:sz w:val="20"/>
          <w:szCs w:val="20"/>
        </w:rPr>
        <w:t>-</w:t>
      </w:r>
      <w:r w:rsidR="004215CB">
        <w:rPr>
          <w:rFonts w:ascii="Arial" w:hAnsi="Arial" w:cs="Arial"/>
          <w:sz w:val="20"/>
          <w:szCs w:val="20"/>
        </w:rPr>
        <w:t>PR, bem como de outros Tribunais de Contas Estaduais e Municipais sobre temas relacionados ao controle externo</w:t>
      </w:r>
      <w:r w:rsidR="001F0576">
        <w:rPr>
          <w:rFonts w:ascii="Arial" w:hAnsi="Arial" w:cs="Arial"/>
          <w:sz w:val="20"/>
          <w:szCs w:val="20"/>
        </w:rPr>
        <w:t>,</w:t>
      </w:r>
      <w:r w:rsidR="004215CB">
        <w:rPr>
          <w:rFonts w:ascii="Arial" w:hAnsi="Arial" w:cs="Arial"/>
          <w:sz w:val="20"/>
          <w:szCs w:val="20"/>
        </w:rPr>
        <w:t xml:space="preserve"> evidenciando o </w:t>
      </w:r>
      <w:r w:rsidR="00324281">
        <w:rPr>
          <w:rFonts w:ascii="Arial" w:hAnsi="Arial" w:cs="Arial"/>
          <w:sz w:val="20"/>
          <w:szCs w:val="20"/>
        </w:rPr>
        <w:t>valor</w:t>
      </w:r>
      <w:r w:rsidR="004215CB">
        <w:rPr>
          <w:rFonts w:ascii="Arial" w:hAnsi="Arial" w:cs="Arial"/>
          <w:sz w:val="20"/>
          <w:szCs w:val="20"/>
        </w:rPr>
        <w:t xml:space="preserve"> da sustentabilidade.</w:t>
      </w:r>
    </w:p>
    <w:p w14:paraId="78F65BF7" w14:textId="77777777" w:rsidR="00674104" w:rsidRDefault="004215CB">
      <w:pPr>
        <w:jc w:val="both"/>
        <w:rPr>
          <w:rFonts w:ascii="Arial" w:hAnsi="Arial" w:cs="Arial"/>
          <w:sz w:val="20"/>
          <w:szCs w:val="20"/>
        </w:rPr>
      </w:pPr>
      <w:r>
        <w:rPr>
          <w:rFonts w:ascii="Arial" w:hAnsi="Arial" w:cs="Arial"/>
          <w:sz w:val="20"/>
          <w:szCs w:val="20"/>
        </w:rPr>
        <w:t xml:space="preserve"> </w:t>
      </w:r>
    </w:p>
    <w:p w14:paraId="1E33018D" w14:textId="77777777" w:rsidR="00674104" w:rsidRDefault="004215CB">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25CF4A94" w14:textId="77777777" w:rsidR="00674104" w:rsidRPr="00412BC4" w:rsidRDefault="00674104">
      <w:pPr>
        <w:jc w:val="both"/>
        <w:rPr>
          <w:rFonts w:ascii="Arial" w:hAnsi="Arial" w:cs="Arial"/>
          <w:sz w:val="20"/>
          <w:szCs w:val="20"/>
          <w:u w:val="single"/>
        </w:rPr>
      </w:pPr>
    </w:p>
    <w:p w14:paraId="1C6CC6C4" w14:textId="77777777" w:rsidR="00674104" w:rsidRDefault="004215CB">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14120D1F" w14:textId="77777777" w:rsidR="00674104" w:rsidRDefault="00674104">
      <w:pPr>
        <w:jc w:val="both"/>
        <w:rPr>
          <w:rFonts w:ascii="Arial" w:hAnsi="Arial" w:cs="Arial"/>
          <w:sz w:val="20"/>
          <w:szCs w:val="20"/>
        </w:rPr>
      </w:pPr>
    </w:p>
    <w:p w14:paraId="138E0F6B" w14:textId="77777777" w:rsidR="00674104" w:rsidRDefault="00AD46A8">
      <w:pPr>
        <w:jc w:val="both"/>
        <w:rPr>
          <w:rFonts w:ascii="Arial" w:hAnsi="Arial" w:cs="Arial"/>
          <w:sz w:val="20"/>
          <w:szCs w:val="20"/>
        </w:rPr>
      </w:pPr>
      <w:r>
        <w:rPr>
          <w:noProof/>
        </w:rPr>
        <mc:AlternateContent>
          <mc:Choice Requires="wps">
            <w:drawing>
              <wp:anchor distT="4294967294" distB="4294967294" distL="114300" distR="114300" simplePos="0" relativeHeight="251660800" behindDoc="0" locked="0" layoutInCell="1" allowOverlap="1" wp14:anchorId="693C7F97" wp14:editId="50F7A0EA">
                <wp:simplePos x="0" y="0"/>
                <wp:positionH relativeFrom="margin">
                  <wp:posOffset>-635</wp:posOffset>
                </wp:positionH>
                <wp:positionV relativeFrom="paragraph">
                  <wp:posOffset>29844</wp:posOffset>
                </wp:positionV>
                <wp:extent cx="5397500" cy="0"/>
                <wp:effectExtent l="0" t="0" r="12700" b="38100"/>
                <wp:wrapNone/>
                <wp:docPr id="1744572658"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46336F8" id="Conector reto 2" o:spid="_x0000_s1026" style="position:absolute;z-index:2516608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" strokecolor="black [3200]" strokeweight="2pt">
                <v:shadow on="t" color="black" opacity="24903f" origin=",.5" offset="0,.55556mm"/>
                <o:lock v:ext="edit" shapetype="f"/>
                <w10:wrap anchorx="margin"/>
              </v:line>
            </w:pict>
          </mc:Fallback>
        </mc:AlternateContent>
      </w:r>
    </w:p>
    <w:p w14:paraId="4BF23557" w14:textId="77777777" w:rsidR="00674104" w:rsidRPr="00017EB9" w:rsidRDefault="007D1CC9" w:rsidP="00017EB9">
      <w:pPr>
        <w:shd w:val="clear" w:color="auto" w:fill="5D9D4F"/>
        <w:tabs>
          <w:tab w:val="center" w:pos="4252"/>
        </w:tabs>
        <w:spacing w:line="276" w:lineRule="auto"/>
        <w:rPr>
          <w:rFonts w:ascii="Arial" w:eastAsia="Arial" w:hAnsi="Arial" w:cs="Arial"/>
          <w:b/>
          <w:color w:val="FFFFFF" w:themeColor="background1"/>
          <w:sz w:val="20"/>
          <w:szCs w:val="20"/>
        </w:rPr>
      </w:pPr>
      <w:r>
        <w:rPr>
          <w:rFonts w:ascii="Arial" w:eastAsia="Arial" w:hAnsi="Arial" w:cs="Arial"/>
          <w:b/>
          <w:sz w:val="20"/>
          <w:szCs w:val="20"/>
        </w:rPr>
        <w:tab/>
      </w:r>
      <w:r w:rsidR="004215CB" w:rsidRPr="00017EB9">
        <w:rPr>
          <w:rFonts w:ascii="Arial" w:eastAsia="Arial" w:hAnsi="Arial" w:cs="Arial"/>
          <w:b/>
          <w:color w:val="FFFFFF" w:themeColor="background1"/>
          <w:sz w:val="20"/>
          <w:szCs w:val="20"/>
        </w:rPr>
        <w:t>SUMÁRIO</w:t>
      </w:r>
    </w:p>
    <w:sdt>
      <w:sdtPr>
        <w:rPr>
          <w:rFonts w:ascii="Times New Roman" w:hAnsi="Times New Roman" w:cs="Times New Roman"/>
          <w:b w:val="0"/>
          <w:bCs w:val="0"/>
          <w:caps w:val="0"/>
          <w:sz w:val="24"/>
          <w:szCs w:val="24"/>
        </w:rPr>
        <w:id w:val="-1690376001"/>
        <w:docPartObj>
          <w:docPartGallery w:val="Table of Contents"/>
          <w:docPartUnique/>
        </w:docPartObj>
      </w:sdtPr>
      <w:sdtEndPr>
        <w:rPr>
          <w:rFonts w:asciiTheme="minorHAnsi" w:hAnsiTheme="minorHAnsi" w:cstheme="minorHAnsi"/>
          <w:b/>
          <w:bCs/>
          <w:caps/>
          <w:noProof/>
          <w:sz w:val="20"/>
          <w:szCs w:val="20"/>
        </w:rPr>
      </w:sdtEndPr>
      <w:sdtContent>
        <w:p w14:paraId="6C32B881" w14:textId="5DF019A6" w:rsidR="001F5C38" w:rsidRDefault="004B01E8" w:rsidP="001F5C38">
          <w:pPr>
            <w:pStyle w:val="Sumrio1"/>
            <w:tabs>
              <w:tab w:val="right" w:leader="dot" w:pos="8494"/>
            </w:tabs>
            <w:jc w:val="both"/>
            <w:rPr>
              <w:rFonts w:eastAsiaTheme="minorEastAsia" w:cstheme="minorBidi"/>
              <w:b w:val="0"/>
              <w:bCs w:val="0"/>
              <w:caps w:val="0"/>
              <w:noProof/>
              <w:kern w:val="2"/>
              <w:sz w:val="24"/>
              <w:szCs w:val="24"/>
              <w14:ligatures w14:val="standardContextual"/>
            </w:rPr>
          </w:pPr>
          <w:r>
            <w:fldChar w:fldCharType="begin"/>
          </w:r>
          <w:r>
            <w:instrText xml:space="preserve"> TOC \o "1-1" \h \z \u </w:instrText>
          </w:r>
          <w:r>
            <w:fldChar w:fldCharType="separate"/>
          </w:r>
          <w:hyperlink w:anchor="_Toc224068160" w:history="1">
            <w:r w:rsidR="001F5C38" w:rsidRPr="00FD1624">
              <w:rPr>
                <w:rStyle w:val="Hyperlink"/>
                <w:noProof/>
              </w:rPr>
              <w:t xml:space="preserve">1. </w:t>
            </w:r>
            <w:r w:rsidR="001F5C38" w:rsidRPr="00FD1624">
              <w:rPr>
                <w:rStyle w:val="Hyperlink"/>
                <w:rFonts w:eastAsiaTheme="minorHAnsi" w:cs="Arial"/>
                <w:noProof/>
              </w:rPr>
              <w:t>AUDITORIA OPERACIONAL. IDENTIFICAÇÃO, AVALIAÇÃO E REVISÃO DE SUBSÍDIOS GOVERNAMENTAIS PREJUDICIAIS AO MEIO AMBIENTE. ACHADOS. DETERMINAÇÕES. CIÊNCIA. ENCAMINHAMENTO DE INFORMAÇÕES. ARQUIVAMENTO.</w:t>
            </w:r>
            <w:r w:rsidR="001F5C38">
              <w:rPr>
                <w:noProof/>
                <w:webHidden/>
              </w:rPr>
              <w:tab/>
            </w:r>
            <w:r w:rsidR="001F5C38">
              <w:rPr>
                <w:noProof/>
                <w:webHidden/>
              </w:rPr>
              <w:fldChar w:fldCharType="begin"/>
            </w:r>
            <w:r w:rsidR="001F5C38">
              <w:rPr>
                <w:noProof/>
                <w:webHidden/>
              </w:rPr>
              <w:instrText xml:space="preserve"> PAGEREF _Toc224068160 \h </w:instrText>
            </w:r>
            <w:r w:rsidR="001F5C38">
              <w:rPr>
                <w:noProof/>
                <w:webHidden/>
              </w:rPr>
            </w:r>
            <w:r w:rsidR="001F5C38">
              <w:rPr>
                <w:noProof/>
                <w:webHidden/>
              </w:rPr>
              <w:fldChar w:fldCharType="separate"/>
            </w:r>
            <w:r w:rsidR="000277AE">
              <w:rPr>
                <w:noProof/>
                <w:webHidden/>
              </w:rPr>
              <w:t>1</w:t>
            </w:r>
            <w:r w:rsidR="001F5C38">
              <w:rPr>
                <w:noProof/>
                <w:webHidden/>
              </w:rPr>
              <w:fldChar w:fldCharType="end"/>
            </w:r>
          </w:hyperlink>
        </w:p>
        <w:p w14:paraId="70DD0CEB" w14:textId="1C273E74" w:rsidR="001F5C38" w:rsidRDefault="001F5C38" w:rsidP="001F5C38">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24068161" w:history="1">
            <w:r w:rsidRPr="00FD1624">
              <w:rPr>
                <w:rStyle w:val="Hyperlink"/>
                <w:noProof/>
              </w:rPr>
              <w:t>2. Representação da Lei de Licitações. Pregão Eletrônico. Fornecimento e instalação de sistema de energia fotovoltaica. Qualificação técnica. Registro e CATs emitidos apenas pelo CREA ou pelo CAU. Ausência de justificativa técnica. Cláusula restritiva. Possibilidade de execução por técnicos industriais com habilitação em eletrotécnica. Resolução nº 74/2019 do CFT. Procedência com recomendação.</w:t>
            </w:r>
            <w:r>
              <w:rPr>
                <w:noProof/>
                <w:webHidden/>
              </w:rPr>
              <w:tab/>
            </w:r>
            <w:r>
              <w:rPr>
                <w:noProof/>
                <w:webHidden/>
              </w:rPr>
              <w:fldChar w:fldCharType="begin"/>
            </w:r>
            <w:r>
              <w:rPr>
                <w:noProof/>
                <w:webHidden/>
              </w:rPr>
              <w:instrText xml:space="preserve"> PAGEREF _Toc224068161 \h </w:instrText>
            </w:r>
            <w:r>
              <w:rPr>
                <w:noProof/>
                <w:webHidden/>
              </w:rPr>
            </w:r>
            <w:r>
              <w:rPr>
                <w:noProof/>
                <w:webHidden/>
              </w:rPr>
              <w:fldChar w:fldCharType="separate"/>
            </w:r>
            <w:r w:rsidR="000277AE">
              <w:rPr>
                <w:noProof/>
                <w:webHidden/>
              </w:rPr>
              <w:t>3</w:t>
            </w:r>
            <w:r>
              <w:rPr>
                <w:noProof/>
                <w:webHidden/>
              </w:rPr>
              <w:fldChar w:fldCharType="end"/>
            </w:r>
          </w:hyperlink>
        </w:p>
        <w:p w14:paraId="47CA0F3A" w14:textId="444C90F9" w:rsidR="001F5C38" w:rsidRDefault="001F5C38" w:rsidP="001F5C38">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24068180" w:history="1">
            <w:r w:rsidRPr="00FD1624">
              <w:rPr>
                <w:rStyle w:val="Hyperlink"/>
                <w:noProof/>
              </w:rPr>
              <w:t>3. Representação da Lei de Licitações. Concessão de prazo para complementação de documentos. Licença ambiental apresentada pela empresa vencedora com endereço que não mais lhe pertence. Inabilitação da empresa UTC Resíduos Sólidos Ltda. Parcial procedência, com emissão de recomendação e manutenção do contrato.</w:t>
            </w:r>
            <w:r>
              <w:rPr>
                <w:noProof/>
                <w:webHidden/>
              </w:rPr>
              <w:tab/>
            </w:r>
            <w:r>
              <w:rPr>
                <w:noProof/>
                <w:webHidden/>
              </w:rPr>
              <w:fldChar w:fldCharType="begin"/>
            </w:r>
            <w:r>
              <w:rPr>
                <w:noProof/>
                <w:webHidden/>
              </w:rPr>
              <w:instrText xml:space="preserve"> PAGEREF _Toc224068180 \h </w:instrText>
            </w:r>
            <w:r>
              <w:rPr>
                <w:noProof/>
                <w:webHidden/>
              </w:rPr>
            </w:r>
            <w:r>
              <w:rPr>
                <w:noProof/>
                <w:webHidden/>
              </w:rPr>
              <w:fldChar w:fldCharType="separate"/>
            </w:r>
            <w:r w:rsidR="000277AE">
              <w:rPr>
                <w:noProof/>
                <w:webHidden/>
              </w:rPr>
              <w:t>4</w:t>
            </w:r>
            <w:r>
              <w:rPr>
                <w:noProof/>
                <w:webHidden/>
              </w:rPr>
              <w:fldChar w:fldCharType="end"/>
            </w:r>
          </w:hyperlink>
        </w:p>
        <w:p w14:paraId="6287CAAC" w14:textId="03EF3350" w:rsidR="001F5C38" w:rsidRDefault="001F5C38" w:rsidP="001F5C38">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24068182" w:history="1">
            <w:r w:rsidRPr="00FD1624">
              <w:rPr>
                <w:rStyle w:val="Hyperlink"/>
                <w:noProof/>
              </w:rPr>
              <w:t>4. Homologação de Recomendações propostas pela Coordenadoria De Auditorias. Plano Anual de Fiscalização 2024-2025. Auditoria de Mobilidade Urbana. Município de Maringá. Recomendações. Homologação.</w:t>
            </w:r>
            <w:r>
              <w:rPr>
                <w:noProof/>
                <w:webHidden/>
              </w:rPr>
              <w:tab/>
            </w:r>
            <w:r>
              <w:rPr>
                <w:noProof/>
                <w:webHidden/>
              </w:rPr>
              <w:fldChar w:fldCharType="begin"/>
            </w:r>
            <w:r>
              <w:rPr>
                <w:noProof/>
                <w:webHidden/>
              </w:rPr>
              <w:instrText xml:space="preserve"> PAGEREF _Toc224068182 \h </w:instrText>
            </w:r>
            <w:r>
              <w:rPr>
                <w:noProof/>
                <w:webHidden/>
              </w:rPr>
            </w:r>
            <w:r>
              <w:rPr>
                <w:noProof/>
                <w:webHidden/>
              </w:rPr>
              <w:fldChar w:fldCharType="separate"/>
            </w:r>
            <w:r w:rsidR="000277AE">
              <w:rPr>
                <w:noProof/>
                <w:webHidden/>
              </w:rPr>
              <w:t>5</w:t>
            </w:r>
            <w:r>
              <w:rPr>
                <w:noProof/>
                <w:webHidden/>
              </w:rPr>
              <w:fldChar w:fldCharType="end"/>
            </w:r>
          </w:hyperlink>
        </w:p>
        <w:p w14:paraId="0CC8F204" w14:textId="23D543FF" w:rsidR="00FB1835" w:rsidRPr="00C444D4" w:rsidRDefault="004B01E8" w:rsidP="005F5622">
          <w:pPr>
            <w:pStyle w:val="Sumrio1"/>
            <w:tabs>
              <w:tab w:val="right" w:leader="dot" w:pos="8494"/>
            </w:tabs>
            <w:jc w:val="both"/>
            <w:rPr>
              <w:rFonts w:eastAsiaTheme="minorEastAsia" w:cstheme="minorBidi"/>
              <w:b w:val="0"/>
              <w:bCs w:val="0"/>
              <w:caps w:val="0"/>
              <w:noProof/>
              <w:kern w:val="2"/>
              <w:sz w:val="24"/>
              <w:szCs w:val="24"/>
              <w14:ligatures w14:val="standardContextual"/>
            </w:rPr>
          </w:pPr>
          <w:r>
            <w:fldChar w:fldCharType="end"/>
          </w:r>
        </w:p>
      </w:sdtContent>
    </w:sdt>
    <w:p w14:paraId="58AB044B" w14:textId="77777777" w:rsidR="00674104" w:rsidRPr="00BB4B21" w:rsidRDefault="004215CB" w:rsidP="00BB4B21">
      <w:pPr>
        <w:shd w:val="clear" w:color="auto" w:fill="5D9D4F"/>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w:t>
      </w:r>
      <w:r w:rsidR="009204AA" w:rsidRPr="00BB4B21">
        <w:rPr>
          <w:rFonts w:ascii="Arial" w:eastAsia="Arial" w:hAnsi="Arial" w:cs="Arial"/>
          <w:b/>
          <w:color w:val="FFFFFF" w:themeColor="background1"/>
          <w:sz w:val="20"/>
          <w:szCs w:val="20"/>
        </w:rPr>
        <w:t>DA UNIÃO</w:t>
      </w:r>
      <w:r w:rsidRPr="00BB4B21">
        <w:rPr>
          <w:rFonts w:ascii="Arial" w:eastAsia="Arial" w:hAnsi="Arial" w:cs="Arial"/>
          <w:b/>
          <w:color w:val="FFFFFF" w:themeColor="background1"/>
          <w:sz w:val="20"/>
          <w:szCs w:val="20"/>
        </w:rPr>
        <w:t xml:space="preserve"> </w:t>
      </w:r>
    </w:p>
    <w:p w14:paraId="0823DFCE" w14:textId="4042AC82" w:rsidR="00C87AB1" w:rsidRPr="00C87AB1" w:rsidRDefault="003F38C2" w:rsidP="002E5AE7">
      <w:pPr>
        <w:pStyle w:val="Ttulo1"/>
        <w:spacing w:before="120" w:after="120"/>
        <w:ind w:right="-1"/>
        <w:rPr>
          <w:lang w:val="pt-BR"/>
        </w:rPr>
      </w:pPr>
      <w:bookmarkStart w:id="0" w:name="_Toc224068160"/>
      <w:r w:rsidRPr="004B01E8">
        <w:rPr>
          <w:lang w:val="pt-BR"/>
        </w:rPr>
        <w:t>1</w:t>
      </w:r>
      <w:r w:rsidR="00B7195E">
        <w:rPr>
          <w:lang w:val="pt-BR"/>
        </w:rPr>
        <w:t xml:space="preserve">. </w:t>
      </w:r>
      <w:r w:rsidR="00C87AB1" w:rsidRPr="00C87AB1">
        <w:rPr>
          <w:rFonts w:eastAsiaTheme="minorHAnsi" w:cs="Arial"/>
          <w:szCs w:val="20"/>
          <w:lang w:val="pt-BR"/>
        </w:rPr>
        <w:t>AUDITORIA OPERACIONAL. IDENTIFICAÇÃO, AVALIAÇÃO E REVISÃO DE SUBSÍDIOS GOVERNAMENTAIS PREJUDICIAIS AO MEIO AMBIENTE. ACHADOS. DETERMINAÇÕES. CIÊNCIA. ENCAMINHAMENTO DE INFORMAÇÕES. ARQUIVAMENTO.</w:t>
      </w:r>
      <w:bookmarkEnd w:id="0"/>
    </w:p>
    <w:p w14:paraId="71C35400" w14:textId="77777777" w:rsidR="00C87AB1" w:rsidRPr="00C87AB1" w:rsidRDefault="00C87AB1" w:rsidP="00C87AB1">
      <w:pPr>
        <w:pStyle w:val="Default"/>
        <w:numPr>
          <w:ilvl w:val="2"/>
          <w:numId w:val="1"/>
        </w:numPr>
        <w:snapToGrid w:val="0"/>
        <w:spacing w:after="120"/>
        <w:jc w:val="both"/>
        <w:rPr>
          <w:sz w:val="20"/>
          <w:szCs w:val="20"/>
        </w:rPr>
      </w:pPr>
      <w:r w:rsidRPr="00C87AB1">
        <w:rPr>
          <w:sz w:val="20"/>
          <w:szCs w:val="20"/>
        </w:rPr>
        <w:t>169.</w:t>
      </w:r>
      <w:r w:rsidRPr="00C87AB1">
        <w:rPr>
          <w:sz w:val="20"/>
          <w:szCs w:val="20"/>
        </w:rPr>
        <w:tab/>
        <w:t xml:space="preserve">A auditoria teve como objetivo avaliar as ações do Governo Federal voltadas à identificação, à avaliação e à revisão de subsídios governamentais que são prejudiciais ao meio ambiente. </w:t>
      </w:r>
    </w:p>
    <w:p w14:paraId="6D7A676D" w14:textId="77777777" w:rsidR="00C87AB1" w:rsidRPr="00C87AB1" w:rsidRDefault="00C87AB1" w:rsidP="00C87AB1">
      <w:pPr>
        <w:pStyle w:val="Default"/>
        <w:numPr>
          <w:ilvl w:val="2"/>
          <w:numId w:val="1"/>
        </w:numPr>
        <w:snapToGrid w:val="0"/>
        <w:spacing w:after="120"/>
        <w:jc w:val="both"/>
        <w:rPr>
          <w:sz w:val="20"/>
          <w:szCs w:val="20"/>
        </w:rPr>
      </w:pPr>
      <w:r w:rsidRPr="00C87AB1">
        <w:rPr>
          <w:sz w:val="20"/>
          <w:szCs w:val="20"/>
        </w:rPr>
        <w:t>170.</w:t>
      </w:r>
      <w:r w:rsidRPr="00C87AB1">
        <w:rPr>
          <w:sz w:val="20"/>
          <w:szCs w:val="20"/>
        </w:rPr>
        <w:tab/>
        <w:t xml:space="preserve">Esses subsídios consistem em incentivos financeiros, creditícios ou fiscais que, direta ou indiretamente, estimulam práticas insustentáveis, tais como os destinados aos combustíveis </w:t>
      </w:r>
      <w:r w:rsidRPr="00C87AB1">
        <w:rPr>
          <w:sz w:val="20"/>
          <w:szCs w:val="20"/>
        </w:rPr>
        <w:lastRenderedPageBreak/>
        <w:t xml:space="preserve">fósseis — que incentivam o uso de petróleo, gás natural e carvão — e à agricultura convencional, marcada pelo uso intensivo de agroquímicos e monoculturas. </w:t>
      </w:r>
    </w:p>
    <w:p w14:paraId="0BDEC24D" w14:textId="77777777" w:rsidR="00C87AB1" w:rsidRPr="00C87AB1" w:rsidRDefault="00C87AB1" w:rsidP="00C87AB1">
      <w:pPr>
        <w:pStyle w:val="Default"/>
        <w:numPr>
          <w:ilvl w:val="2"/>
          <w:numId w:val="1"/>
        </w:numPr>
        <w:snapToGrid w:val="0"/>
        <w:spacing w:after="120"/>
        <w:jc w:val="both"/>
        <w:rPr>
          <w:sz w:val="20"/>
          <w:szCs w:val="20"/>
        </w:rPr>
      </w:pPr>
      <w:r w:rsidRPr="00C87AB1">
        <w:rPr>
          <w:sz w:val="20"/>
          <w:szCs w:val="20"/>
        </w:rPr>
        <w:t>171.</w:t>
      </w:r>
      <w:r w:rsidRPr="00C87AB1">
        <w:rPr>
          <w:sz w:val="20"/>
          <w:szCs w:val="20"/>
        </w:rPr>
        <w:tab/>
        <w:t>A gravidade e os impactos desse tipo de incentivo já foram amplamente reconhecidos pela comunidade internacional, o que motivou a adoção de compromissos multilaterais voltados à sua revisão e eliminação.</w:t>
      </w:r>
    </w:p>
    <w:p w14:paraId="7BD0C7A1" w14:textId="77777777" w:rsidR="00C87AB1" w:rsidRPr="00C87AB1" w:rsidRDefault="00C87AB1" w:rsidP="00C87AB1">
      <w:pPr>
        <w:pStyle w:val="Default"/>
        <w:numPr>
          <w:ilvl w:val="2"/>
          <w:numId w:val="1"/>
        </w:numPr>
        <w:snapToGrid w:val="0"/>
        <w:spacing w:after="120"/>
        <w:jc w:val="both"/>
        <w:rPr>
          <w:sz w:val="20"/>
          <w:szCs w:val="20"/>
        </w:rPr>
      </w:pPr>
      <w:r w:rsidRPr="00C87AB1">
        <w:rPr>
          <w:sz w:val="20"/>
          <w:szCs w:val="20"/>
        </w:rPr>
        <w:t>172.</w:t>
      </w:r>
      <w:r w:rsidRPr="00C87AB1">
        <w:rPr>
          <w:sz w:val="20"/>
          <w:szCs w:val="20"/>
        </w:rPr>
        <w:tab/>
        <w:t xml:space="preserve">No contexto dos acordos internacionais de conservação da biodiversidade celebrados pelo Brasil, destaca-se o Marco Global de Biodiversidade de </w:t>
      </w:r>
      <w:proofErr w:type="spellStart"/>
      <w:r w:rsidRPr="00C87AB1">
        <w:rPr>
          <w:sz w:val="20"/>
          <w:szCs w:val="20"/>
        </w:rPr>
        <w:t>Kunming</w:t>
      </w:r>
      <w:proofErr w:type="spellEnd"/>
      <w:r w:rsidRPr="00C87AB1">
        <w:rPr>
          <w:sz w:val="20"/>
          <w:szCs w:val="20"/>
        </w:rPr>
        <w:t xml:space="preserve">-Montreal, aprovado no âmbito da Convenção sobre Diversidade Biológica (CDB). </w:t>
      </w:r>
    </w:p>
    <w:p w14:paraId="13876C85" w14:textId="77777777" w:rsidR="00C87AB1" w:rsidRPr="00C87AB1" w:rsidRDefault="00C87AB1" w:rsidP="00C87AB1">
      <w:pPr>
        <w:pStyle w:val="Default"/>
        <w:numPr>
          <w:ilvl w:val="2"/>
          <w:numId w:val="1"/>
        </w:numPr>
        <w:snapToGrid w:val="0"/>
        <w:spacing w:after="120"/>
        <w:jc w:val="both"/>
        <w:rPr>
          <w:sz w:val="20"/>
          <w:szCs w:val="20"/>
        </w:rPr>
      </w:pPr>
      <w:r w:rsidRPr="00C87AB1">
        <w:rPr>
          <w:sz w:val="20"/>
          <w:szCs w:val="20"/>
        </w:rPr>
        <w:t>173.</w:t>
      </w:r>
      <w:r w:rsidRPr="00C87AB1">
        <w:rPr>
          <w:sz w:val="20"/>
          <w:szCs w:val="20"/>
        </w:rPr>
        <w:tab/>
        <w:t>Esse instrumento estabelece metas estratégicas para conter a perda da biodiversidade e promover a sustentabilidade, entre as quais se inclui a Meta 18, que determina que os países identifiquem, até 2025, os subsídios prejudiciais à biodiversidade, com vistas à sua eliminação, redução gradual ou reforma até 2030.</w:t>
      </w:r>
    </w:p>
    <w:p w14:paraId="4D5AD58D" w14:textId="77777777" w:rsidR="00C87AB1" w:rsidRPr="00C87AB1" w:rsidRDefault="00C87AB1" w:rsidP="00C87AB1">
      <w:pPr>
        <w:pStyle w:val="Default"/>
        <w:numPr>
          <w:ilvl w:val="2"/>
          <w:numId w:val="1"/>
        </w:numPr>
        <w:snapToGrid w:val="0"/>
        <w:spacing w:after="120"/>
        <w:jc w:val="both"/>
        <w:rPr>
          <w:sz w:val="20"/>
          <w:szCs w:val="20"/>
        </w:rPr>
      </w:pPr>
      <w:r w:rsidRPr="00C87AB1">
        <w:rPr>
          <w:sz w:val="20"/>
          <w:szCs w:val="20"/>
        </w:rPr>
        <w:t>174.</w:t>
      </w:r>
      <w:r w:rsidRPr="00C87AB1">
        <w:rPr>
          <w:sz w:val="20"/>
          <w:szCs w:val="20"/>
        </w:rPr>
        <w:tab/>
        <w:t>No entanto, verificou-se que o país ainda não iniciou o processo de identificação desses subsídios, tampouco instituiu uma instância de coordenação responsável por essa tarefa. Essa omissão sinaliza um risco concreto de descumprimento das metas acordadas e fragiliza os esforços nacionais para implementar políticas ambientais mais eficazes e integradas.</w:t>
      </w:r>
    </w:p>
    <w:p w14:paraId="30BF54A5" w14:textId="77777777" w:rsidR="00C87AB1" w:rsidRPr="00C87AB1" w:rsidRDefault="00C87AB1" w:rsidP="00C87AB1">
      <w:pPr>
        <w:pStyle w:val="Default"/>
        <w:numPr>
          <w:ilvl w:val="2"/>
          <w:numId w:val="1"/>
        </w:numPr>
        <w:snapToGrid w:val="0"/>
        <w:spacing w:after="120"/>
        <w:jc w:val="both"/>
        <w:rPr>
          <w:sz w:val="20"/>
          <w:szCs w:val="20"/>
        </w:rPr>
      </w:pPr>
      <w:r w:rsidRPr="00C87AB1">
        <w:rPr>
          <w:sz w:val="20"/>
          <w:szCs w:val="20"/>
        </w:rPr>
        <w:t>175.</w:t>
      </w:r>
      <w:r w:rsidRPr="00C87AB1">
        <w:rPr>
          <w:sz w:val="20"/>
          <w:szCs w:val="20"/>
        </w:rPr>
        <w:tab/>
        <w:t>Esse cenário reflete a baixa prioridade atribuída ao tema na agenda política e a ausência de liderança governamental capaz de articular os diversos setores envolvidos, comprometendo a adoção de medidas concretas. A identificação e classificação dos subsídios prejudiciais ao meio ambiente, por sua vez, exigem o estabelecimento de uma instância de coordenação com atribuições bem definidas, legitimidade política e capacidade técnica e institucional para conduzir um processo intersetorial consistente e efetivo.</w:t>
      </w:r>
    </w:p>
    <w:p w14:paraId="371F104A" w14:textId="77777777" w:rsidR="00C87AB1" w:rsidRPr="00C87AB1" w:rsidRDefault="00C87AB1" w:rsidP="00C87AB1">
      <w:pPr>
        <w:pStyle w:val="Default"/>
        <w:numPr>
          <w:ilvl w:val="2"/>
          <w:numId w:val="1"/>
        </w:numPr>
        <w:snapToGrid w:val="0"/>
        <w:spacing w:after="120"/>
        <w:jc w:val="both"/>
        <w:rPr>
          <w:sz w:val="20"/>
          <w:szCs w:val="20"/>
        </w:rPr>
      </w:pPr>
      <w:r w:rsidRPr="00C87AB1">
        <w:rPr>
          <w:sz w:val="20"/>
          <w:szCs w:val="20"/>
        </w:rPr>
        <w:t>176.</w:t>
      </w:r>
      <w:r w:rsidRPr="00C87AB1">
        <w:rPr>
          <w:sz w:val="20"/>
          <w:szCs w:val="20"/>
        </w:rPr>
        <w:tab/>
        <w:t>Para além da omissão em identificar os subsídios ambientalmente prejudiciais, há deficiências mais amplas no sistema de concessão, manutenção e controle desses instrumentos. A governança atual é marcada pela fragmentação: cada ministério setorial propõe incentivos no âmbito de sua atuação, sem que haja uma instância central responsável por coordenar ou integrar essas iniciativas. Essa estrutura descentralizada dificulta a adoção de critérios técnicos uniformes e compromete a coerência entre as diversas políticas públicas.</w:t>
      </w:r>
    </w:p>
    <w:p w14:paraId="3DC0B243" w14:textId="77777777" w:rsidR="00C87AB1" w:rsidRPr="00C87AB1" w:rsidRDefault="00C87AB1" w:rsidP="00C87AB1">
      <w:pPr>
        <w:pStyle w:val="Default"/>
        <w:numPr>
          <w:ilvl w:val="2"/>
          <w:numId w:val="1"/>
        </w:numPr>
        <w:snapToGrid w:val="0"/>
        <w:spacing w:after="120"/>
        <w:jc w:val="both"/>
        <w:rPr>
          <w:sz w:val="20"/>
          <w:szCs w:val="20"/>
        </w:rPr>
      </w:pPr>
      <w:r w:rsidRPr="00C87AB1">
        <w:rPr>
          <w:sz w:val="20"/>
          <w:szCs w:val="20"/>
        </w:rPr>
        <w:t>177.</w:t>
      </w:r>
      <w:r w:rsidRPr="00C87AB1">
        <w:rPr>
          <w:sz w:val="20"/>
          <w:szCs w:val="20"/>
        </w:rPr>
        <w:tab/>
        <w:t>Observa-se que não há exigência normativa que condicione a tramitação de proposições de incentivos à realização prévia de estudos de impacto, sobretudo ambientais. Ademais, a ausência de mecanismos eficazes de monitoramento contínuo compromete a capacidade do Estado de avaliar a efetividade dos subsídios ao longo do tempo, identificar incentivos ineficientes ou obsoletos e adotar medidas corretivas com base em evidências.</w:t>
      </w:r>
    </w:p>
    <w:p w14:paraId="248383D7" w14:textId="77777777" w:rsidR="00C87AB1" w:rsidRPr="00C87AB1" w:rsidRDefault="00C87AB1" w:rsidP="00C87AB1">
      <w:pPr>
        <w:pStyle w:val="Default"/>
        <w:numPr>
          <w:ilvl w:val="2"/>
          <w:numId w:val="1"/>
        </w:numPr>
        <w:snapToGrid w:val="0"/>
        <w:spacing w:after="120"/>
        <w:jc w:val="both"/>
        <w:rPr>
          <w:sz w:val="20"/>
          <w:szCs w:val="20"/>
        </w:rPr>
      </w:pPr>
      <w:r w:rsidRPr="00C87AB1">
        <w:rPr>
          <w:sz w:val="20"/>
          <w:szCs w:val="20"/>
        </w:rPr>
        <w:t>178.</w:t>
      </w:r>
      <w:r w:rsidRPr="00C87AB1">
        <w:rPr>
          <w:sz w:val="20"/>
          <w:szCs w:val="20"/>
        </w:rPr>
        <w:tab/>
        <w:t>Soma-se a isso o fato de que grande parte das propostas de concessão carece de critérios técnicos claros e transparentes. Muitas são elaboradas sem a devida fundamentação, como estudos que demonstrem sua real necessidade ou que analisem seus impactos socioeconômicos e ambientais. Essa fragilidade compromete a qualidade das decisões públicas, favorece a má alocação de recursos, a perda de arrecadação e a perpetuação de desigualdades.</w:t>
      </w:r>
    </w:p>
    <w:p w14:paraId="64659E3A" w14:textId="77777777" w:rsidR="00C87AB1" w:rsidRPr="00C87AB1" w:rsidRDefault="00C87AB1" w:rsidP="00C87AB1">
      <w:pPr>
        <w:pStyle w:val="Default"/>
        <w:numPr>
          <w:ilvl w:val="2"/>
          <w:numId w:val="1"/>
        </w:numPr>
        <w:snapToGrid w:val="0"/>
        <w:spacing w:after="120"/>
        <w:jc w:val="both"/>
        <w:rPr>
          <w:sz w:val="20"/>
          <w:szCs w:val="20"/>
        </w:rPr>
      </w:pPr>
      <w:r w:rsidRPr="00C87AB1">
        <w:rPr>
          <w:sz w:val="20"/>
          <w:szCs w:val="20"/>
        </w:rPr>
        <w:t>179.</w:t>
      </w:r>
      <w:r w:rsidRPr="00C87AB1">
        <w:rPr>
          <w:sz w:val="20"/>
          <w:szCs w:val="20"/>
        </w:rPr>
        <w:tab/>
        <w:t>Diante desse cenário, espera-se que o fortalecimento da governança sobre subsídios e a adoção das medidas institucionais necessárias para sua identificação, avaliação e revisão possam impulsionar a construção de políticas públicas mais coerentes com os compromissos ambientais assumidos pelo Brasil.</w:t>
      </w:r>
    </w:p>
    <w:p w14:paraId="29741015" w14:textId="77777777" w:rsidR="00C87AB1" w:rsidRPr="00C87AB1" w:rsidRDefault="00C87AB1" w:rsidP="00C87AB1">
      <w:pPr>
        <w:pStyle w:val="Default"/>
        <w:numPr>
          <w:ilvl w:val="2"/>
          <w:numId w:val="1"/>
        </w:numPr>
        <w:snapToGrid w:val="0"/>
        <w:spacing w:after="120"/>
        <w:jc w:val="both"/>
        <w:rPr>
          <w:sz w:val="20"/>
          <w:szCs w:val="20"/>
        </w:rPr>
      </w:pPr>
      <w:r w:rsidRPr="00C87AB1">
        <w:rPr>
          <w:sz w:val="20"/>
          <w:szCs w:val="20"/>
        </w:rPr>
        <w:t>180.</w:t>
      </w:r>
      <w:r w:rsidRPr="00C87AB1">
        <w:rPr>
          <w:sz w:val="20"/>
          <w:szCs w:val="20"/>
        </w:rPr>
        <w:tab/>
        <w:t>Para tanto, o Governo Federal deve instituir, com urgência, uma instância de coordenação interministerial com legitimidade política, capacidade técnica e atribuições formais para liderar o processo de identificação e reavaliação dos subsídios prejudiciais ao meio ambiente. Essa instância deve promover a articulação entre os órgãos setoriais e ambientais, com participação efetiva do Ministério do Meio Ambiente e Mudança do Clima (MMA), cuja inclusão sistemática no processo decisório é essencial para assegurar a compatibilidade dos incentivos econômicos com as metas de conservação e sustentabilidade.</w:t>
      </w:r>
    </w:p>
    <w:p w14:paraId="6499B684" w14:textId="77777777" w:rsidR="00C87AB1" w:rsidRPr="00C87AB1" w:rsidRDefault="00C87AB1" w:rsidP="00C87AB1">
      <w:pPr>
        <w:pStyle w:val="Default"/>
        <w:numPr>
          <w:ilvl w:val="2"/>
          <w:numId w:val="1"/>
        </w:numPr>
        <w:snapToGrid w:val="0"/>
        <w:spacing w:after="120"/>
        <w:jc w:val="both"/>
        <w:rPr>
          <w:sz w:val="20"/>
          <w:szCs w:val="20"/>
        </w:rPr>
      </w:pPr>
      <w:r w:rsidRPr="00C87AB1">
        <w:rPr>
          <w:sz w:val="20"/>
          <w:szCs w:val="20"/>
        </w:rPr>
        <w:lastRenderedPageBreak/>
        <w:t>181.</w:t>
      </w:r>
      <w:r w:rsidRPr="00C87AB1">
        <w:rPr>
          <w:sz w:val="20"/>
          <w:szCs w:val="20"/>
        </w:rPr>
        <w:tab/>
        <w:t xml:space="preserve">Adicionalmente, é necessário regulamentar a obrigatoriedade da análise de impactos ambientais nas propostas de criação ou manutenção de subsídios, inclusive as de iniciativa legislativa, assegurando que tais decisões estejam ancoradas em critérios técnicos claros, transparentes e sustentáveis. </w:t>
      </w:r>
    </w:p>
    <w:p w14:paraId="77FBCB54" w14:textId="77777777" w:rsidR="00C87AB1" w:rsidRPr="00C87AB1" w:rsidRDefault="00C87AB1" w:rsidP="00C87AB1">
      <w:pPr>
        <w:pStyle w:val="Default"/>
        <w:numPr>
          <w:ilvl w:val="2"/>
          <w:numId w:val="1"/>
        </w:numPr>
        <w:snapToGrid w:val="0"/>
        <w:spacing w:after="120"/>
        <w:jc w:val="both"/>
        <w:rPr>
          <w:sz w:val="20"/>
          <w:szCs w:val="20"/>
        </w:rPr>
      </w:pPr>
      <w:r w:rsidRPr="00C87AB1">
        <w:rPr>
          <w:sz w:val="20"/>
          <w:szCs w:val="20"/>
        </w:rPr>
        <w:t>182.</w:t>
      </w:r>
      <w:r w:rsidRPr="00C87AB1">
        <w:rPr>
          <w:sz w:val="20"/>
          <w:szCs w:val="20"/>
        </w:rPr>
        <w:tab/>
        <w:t>Também se recomenda o desenvolvimento de mecanismos padronizados de monitoramento e avaliação periódica, a fim de ampliar a transparência, evitar distorções e permitir a revisão tempestiva de incentivos ineficazes ou ambientalmente prejudiciais.</w:t>
      </w:r>
    </w:p>
    <w:p w14:paraId="11B44C81" w14:textId="77777777" w:rsidR="00C87AB1" w:rsidRPr="00C87AB1" w:rsidRDefault="00C87AB1" w:rsidP="00C87AB1">
      <w:pPr>
        <w:pStyle w:val="Default"/>
        <w:numPr>
          <w:ilvl w:val="2"/>
          <w:numId w:val="1"/>
        </w:numPr>
        <w:snapToGrid w:val="0"/>
        <w:spacing w:after="120"/>
        <w:jc w:val="both"/>
        <w:rPr>
          <w:sz w:val="20"/>
          <w:szCs w:val="20"/>
        </w:rPr>
      </w:pPr>
      <w:r w:rsidRPr="00C87AB1">
        <w:rPr>
          <w:sz w:val="20"/>
          <w:szCs w:val="20"/>
        </w:rPr>
        <w:t>183.</w:t>
      </w:r>
      <w:r w:rsidRPr="00C87AB1">
        <w:rPr>
          <w:sz w:val="20"/>
          <w:szCs w:val="20"/>
        </w:rPr>
        <w:tab/>
        <w:t>A reformulação desses subsídios pode, ainda, impulsionar setores econômicos alinhados à agenda ambiental, como a bioeconomia, os pagamentos por serviços ambientais, o mercado de carbono e os serviços ecossistêmicos. Esses segmentos não apenas geram receitas e empregos, mas também promovem a conservação dos recursos naturais e contribuem para uma economia de baixo carbono.</w:t>
      </w:r>
    </w:p>
    <w:p w14:paraId="58385BCD" w14:textId="30086358" w:rsidR="00FA1C68" w:rsidRDefault="00C87AB1" w:rsidP="00C87AB1">
      <w:pPr>
        <w:pStyle w:val="Default"/>
        <w:snapToGrid w:val="0"/>
        <w:spacing w:after="120"/>
        <w:jc w:val="both"/>
        <w:rPr>
          <w:sz w:val="20"/>
          <w:szCs w:val="20"/>
        </w:rPr>
      </w:pPr>
      <w:r w:rsidRPr="00C87AB1">
        <w:rPr>
          <w:sz w:val="20"/>
          <w:szCs w:val="20"/>
        </w:rPr>
        <w:t>184.</w:t>
      </w:r>
      <w:r w:rsidRPr="00C87AB1">
        <w:rPr>
          <w:sz w:val="20"/>
          <w:szCs w:val="20"/>
        </w:rPr>
        <w:tab/>
        <w:t xml:space="preserve">Assim, a implementação de instrumentos institucionais e normativos para a gestão responsável dos subsídios governamentais deve ser compreendida não apenas como uma exigência para o cumprimento das metas internacionais pactuadas, como a Meta 18 do Marco Global de Biodiversidade de </w:t>
      </w:r>
      <w:proofErr w:type="spellStart"/>
      <w:r w:rsidRPr="00C87AB1">
        <w:rPr>
          <w:sz w:val="20"/>
          <w:szCs w:val="20"/>
        </w:rPr>
        <w:t>Kunming</w:t>
      </w:r>
      <w:proofErr w:type="spellEnd"/>
      <w:r w:rsidRPr="00C87AB1">
        <w:rPr>
          <w:sz w:val="20"/>
          <w:szCs w:val="20"/>
        </w:rPr>
        <w:t>-Montreal, mas também como uma oportunidade concreta para reorientar o modelo de desenvolvimento nacional rumo a uma trajetória mais equilibrada, resiliente e ambientalmente sustentável.</w:t>
      </w:r>
    </w:p>
    <w:p w14:paraId="4C9CF79C" w14:textId="76787377" w:rsidR="007A5AED" w:rsidRPr="00B146F5" w:rsidRDefault="0048296C" w:rsidP="00C87AB1">
      <w:pPr>
        <w:pStyle w:val="Default"/>
        <w:snapToGrid w:val="0"/>
        <w:spacing w:after="120"/>
        <w:jc w:val="both"/>
        <w:rPr>
          <w:rFonts w:eastAsia="Arial"/>
          <w:sz w:val="20"/>
          <w:szCs w:val="20"/>
        </w:rPr>
      </w:pPr>
      <w:r w:rsidRPr="00B146F5">
        <w:rPr>
          <w:rFonts w:eastAsia="Arial"/>
          <w:sz w:val="20"/>
          <w:szCs w:val="20"/>
        </w:rPr>
        <w:t xml:space="preserve">(TCU, </w:t>
      </w:r>
      <w:r w:rsidR="00EC50AC" w:rsidRPr="00EC50AC">
        <w:rPr>
          <w:rFonts w:eastAsia="Arial"/>
          <w:sz w:val="20"/>
          <w:szCs w:val="20"/>
        </w:rPr>
        <w:t xml:space="preserve">TC </w:t>
      </w:r>
      <w:r w:rsidR="00C87AB1">
        <w:rPr>
          <w:rFonts w:eastAsia="Arial"/>
          <w:sz w:val="20"/>
          <w:szCs w:val="20"/>
        </w:rPr>
        <w:t>016.247/2024-8</w:t>
      </w:r>
      <w:r w:rsidRPr="00B146F5">
        <w:rPr>
          <w:rFonts w:eastAsia="Arial"/>
          <w:sz w:val="20"/>
          <w:szCs w:val="20"/>
        </w:rPr>
        <w:t xml:space="preserve">, </w:t>
      </w:r>
      <w:hyperlink r:id="rId13" w:history="1">
        <w:r w:rsidR="00C87AB1">
          <w:rPr>
            <w:rStyle w:val="Hyperlink"/>
            <w:rFonts w:eastAsia="Arial"/>
            <w:sz w:val="20"/>
            <w:szCs w:val="20"/>
          </w:rPr>
          <w:t>Acórdão n.º 2914/2025</w:t>
        </w:r>
      </w:hyperlink>
      <w:r w:rsidRPr="00B146F5">
        <w:rPr>
          <w:rFonts w:eastAsia="Arial"/>
          <w:sz w:val="20"/>
          <w:szCs w:val="20"/>
        </w:rPr>
        <w:t>,</w:t>
      </w:r>
      <w:r w:rsidR="00B726C4" w:rsidRPr="00B146F5">
        <w:rPr>
          <w:rFonts w:eastAsia="Arial"/>
          <w:sz w:val="20"/>
          <w:szCs w:val="20"/>
        </w:rPr>
        <w:t xml:space="preserve"> </w:t>
      </w:r>
      <w:r w:rsidR="00F97FA1" w:rsidRPr="00B146F5">
        <w:rPr>
          <w:rFonts w:eastAsia="Arial"/>
          <w:sz w:val="20"/>
          <w:szCs w:val="20"/>
        </w:rPr>
        <w:t>Plenário</w:t>
      </w:r>
      <w:r w:rsidR="00B726C4" w:rsidRPr="00B146F5">
        <w:rPr>
          <w:rFonts w:eastAsia="Arial"/>
          <w:sz w:val="20"/>
          <w:szCs w:val="20"/>
        </w:rPr>
        <w:t>,</w:t>
      </w:r>
      <w:r w:rsidRPr="00B146F5">
        <w:rPr>
          <w:rFonts w:eastAsia="Arial"/>
          <w:sz w:val="20"/>
          <w:szCs w:val="20"/>
        </w:rPr>
        <w:t xml:space="preserve"> Rel. </w:t>
      </w:r>
      <w:r w:rsidR="00EC50AC">
        <w:rPr>
          <w:rFonts w:eastAsia="Arial"/>
          <w:sz w:val="20"/>
          <w:szCs w:val="20"/>
        </w:rPr>
        <w:t>JHONATAN DE JESUS</w:t>
      </w:r>
      <w:r w:rsidRPr="00B146F5">
        <w:rPr>
          <w:rFonts w:eastAsia="Arial"/>
          <w:sz w:val="20"/>
          <w:szCs w:val="20"/>
        </w:rPr>
        <w:t xml:space="preserve">, julgado em </w:t>
      </w:r>
      <w:r w:rsidR="00C87AB1">
        <w:rPr>
          <w:rFonts w:eastAsia="Arial"/>
          <w:sz w:val="20"/>
          <w:szCs w:val="20"/>
        </w:rPr>
        <w:t>08</w:t>
      </w:r>
      <w:r w:rsidR="00AE2832" w:rsidRPr="00B146F5">
        <w:rPr>
          <w:rFonts w:eastAsia="Arial"/>
          <w:sz w:val="20"/>
          <w:szCs w:val="20"/>
        </w:rPr>
        <w:t>/</w:t>
      </w:r>
      <w:r w:rsidR="00EC50AC">
        <w:rPr>
          <w:rFonts w:eastAsia="Arial"/>
          <w:sz w:val="20"/>
          <w:szCs w:val="20"/>
        </w:rPr>
        <w:t>1</w:t>
      </w:r>
      <w:r w:rsidR="00C87AB1">
        <w:rPr>
          <w:rFonts w:eastAsia="Arial"/>
          <w:sz w:val="20"/>
          <w:szCs w:val="20"/>
        </w:rPr>
        <w:t>2</w:t>
      </w:r>
      <w:r w:rsidR="003F38C2" w:rsidRPr="00B146F5">
        <w:rPr>
          <w:rFonts w:eastAsia="Arial"/>
          <w:sz w:val="20"/>
          <w:szCs w:val="20"/>
        </w:rPr>
        <w:t>/</w:t>
      </w:r>
      <w:r w:rsidR="00D36E9D" w:rsidRPr="00B146F5">
        <w:rPr>
          <w:rFonts w:eastAsia="Arial"/>
          <w:sz w:val="20"/>
          <w:szCs w:val="20"/>
        </w:rPr>
        <w:t>202</w:t>
      </w:r>
      <w:r w:rsidR="00BC3B12">
        <w:rPr>
          <w:rFonts w:eastAsia="Arial"/>
          <w:sz w:val="20"/>
          <w:szCs w:val="20"/>
        </w:rPr>
        <w:t>5</w:t>
      </w:r>
      <w:r w:rsidRPr="00B146F5">
        <w:rPr>
          <w:rFonts w:eastAsia="Arial"/>
          <w:sz w:val="20"/>
          <w:szCs w:val="20"/>
        </w:rPr>
        <w:t>)</w:t>
      </w:r>
    </w:p>
    <w:p w14:paraId="0A4BB79B" w14:textId="4CD7FDF6" w:rsidR="00FA1C68" w:rsidRPr="00FA1C68" w:rsidRDefault="007A5AED" w:rsidP="00FA1C68">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DO ESTADO DO PARANÁ </w:t>
      </w:r>
    </w:p>
    <w:p w14:paraId="4C8EFF96" w14:textId="2CA3283F" w:rsidR="00C87AB1" w:rsidRPr="00C87AB1" w:rsidRDefault="004330D2" w:rsidP="00F062CB">
      <w:pPr>
        <w:pStyle w:val="Ttulo1"/>
        <w:spacing w:before="120" w:after="120"/>
        <w:ind w:right="-1"/>
        <w:rPr>
          <w:lang w:val="pt-BR"/>
        </w:rPr>
      </w:pPr>
      <w:bookmarkStart w:id="1" w:name="_Toc224068161"/>
      <w:r w:rsidRPr="00A93B0F">
        <w:rPr>
          <w:lang w:val="pt-BR"/>
        </w:rPr>
        <w:t>2.</w:t>
      </w:r>
      <w:bookmarkStart w:id="2" w:name="OLE_LINK1"/>
      <w:r w:rsidR="00B44DE8">
        <w:rPr>
          <w:lang w:val="pt-BR"/>
        </w:rPr>
        <w:t xml:space="preserve"> </w:t>
      </w:r>
      <w:r w:rsidR="00C87AB1" w:rsidRPr="00C87AB1">
        <w:rPr>
          <w:lang w:val="pt-BR"/>
        </w:rPr>
        <w:t xml:space="preserve">Representação da Lei de Licitações. Pregão Eletrônico. Fornecimento e instalação de sistema de energia fotovoltaica. Qualificação técnica. Registro e </w:t>
      </w:r>
      <w:proofErr w:type="spellStart"/>
      <w:r w:rsidR="00C87AB1" w:rsidRPr="00C87AB1">
        <w:rPr>
          <w:lang w:val="pt-BR"/>
        </w:rPr>
        <w:t>CATs</w:t>
      </w:r>
      <w:proofErr w:type="spellEnd"/>
      <w:r w:rsidR="00C87AB1" w:rsidRPr="00C87AB1">
        <w:rPr>
          <w:lang w:val="pt-BR"/>
        </w:rPr>
        <w:t xml:space="preserve"> emitidos apenas pelo CREA ou pelo CAU. Ausência de justificativa técnica. Cláusula restritiva. Possibilidade de execução por técnicos industriais com habilitação em eletrotécnica. Resolução nº 74/2019 do CFT. Procedência com recomendação.</w:t>
      </w:r>
      <w:bookmarkEnd w:id="1"/>
      <w:r w:rsidR="00C87AB1">
        <w:rPr>
          <w:lang w:val="pt-BR"/>
        </w:rPr>
        <w:t xml:space="preserve"> </w:t>
      </w:r>
    </w:p>
    <w:p w14:paraId="20FE4661" w14:textId="636E56C7" w:rsidR="00F062CB" w:rsidRDefault="00E74E05" w:rsidP="00F062CB">
      <w:pPr>
        <w:pStyle w:val="Ttulo1"/>
        <w:spacing w:before="120" w:after="120"/>
        <w:ind w:right="-1"/>
        <w:rPr>
          <w:lang w:val="pt-BR"/>
        </w:rPr>
      </w:pPr>
      <w:bookmarkStart w:id="3" w:name="_Toc220000986"/>
      <w:bookmarkStart w:id="4" w:name="_Toc224068162"/>
      <w:r>
        <w:rPr>
          <w:noProof/>
          <w:lang w:val="pt-BR"/>
        </w:rPr>
        <w:drawing>
          <wp:inline distT="0" distB="0" distL="0" distR="0" wp14:anchorId="1BBC0DDF" wp14:editId="34271AB5">
            <wp:extent cx="468000" cy="468000"/>
            <wp:effectExtent l="0" t="0" r="1905" b="1905"/>
            <wp:docPr id="1779789854" name="Imagem 7" descr="Ícone&#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9789854" name="Imagem 7" descr="Ícone&#10;&#10;O conteúdo gerado por IA pode estar incorre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bookmarkEnd w:id="3"/>
      <w:bookmarkEnd w:id="4"/>
    </w:p>
    <w:p w14:paraId="47BE57C0" w14:textId="4DE06247" w:rsidR="00C87AB1" w:rsidRPr="00FA1C68" w:rsidRDefault="00C87AB1" w:rsidP="00FA1C68">
      <w:pPr>
        <w:pStyle w:val="Ttulo1"/>
        <w:snapToGrid w:val="0"/>
        <w:spacing w:before="120" w:after="120"/>
        <w:ind w:right="0"/>
        <w:rPr>
          <w:b w:val="0"/>
          <w:bCs w:val="0"/>
        </w:rPr>
      </w:pPr>
      <w:bookmarkStart w:id="5" w:name="_Toc220000987"/>
      <w:bookmarkStart w:id="6" w:name="_Toc224068163"/>
      <w:r w:rsidRPr="00FA1C68">
        <w:rPr>
          <w:b w:val="0"/>
          <w:bCs w:val="0"/>
        </w:rPr>
        <w:t>(…) “</w:t>
      </w:r>
      <w:r w:rsidRPr="00C87AB1">
        <w:rPr>
          <w:b w:val="0"/>
          <w:bCs w:val="0"/>
        </w:rPr>
        <w:t xml:space="preserve">a </w:t>
      </w:r>
      <w:proofErr w:type="spellStart"/>
      <w:r w:rsidRPr="00C87AB1">
        <w:rPr>
          <w:b w:val="0"/>
          <w:bCs w:val="0"/>
        </w:rPr>
        <w:t>demanda</w:t>
      </w:r>
      <w:proofErr w:type="spellEnd"/>
      <w:r w:rsidRPr="00C87AB1">
        <w:rPr>
          <w:b w:val="0"/>
          <w:bCs w:val="0"/>
        </w:rPr>
        <w:t xml:space="preserve"> </w:t>
      </w:r>
      <w:proofErr w:type="spellStart"/>
      <w:r w:rsidRPr="00C87AB1">
        <w:rPr>
          <w:b w:val="0"/>
          <w:bCs w:val="0"/>
        </w:rPr>
        <w:t>foi</w:t>
      </w:r>
      <w:proofErr w:type="spellEnd"/>
      <w:r w:rsidRPr="00C87AB1">
        <w:rPr>
          <w:b w:val="0"/>
          <w:bCs w:val="0"/>
        </w:rPr>
        <w:t xml:space="preserve"> </w:t>
      </w:r>
      <w:proofErr w:type="spellStart"/>
      <w:r w:rsidRPr="00C87AB1">
        <w:rPr>
          <w:b w:val="0"/>
          <w:bCs w:val="0"/>
        </w:rPr>
        <w:t>recebida</w:t>
      </w:r>
      <w:proofErr w:type="spellEnd"/>
      <w:r w:rsidRPr="00C87AB1">
        <w:rPr>
          <w:b w:val="0"/>
          <w:bCs w:val="0"/>
        </w:rPr>
        <w:t xml:space="preserve"> para </w:t>
      </w:r>
      <w:proofErr w:type="spellStart"/>
      <w:r w:rsidRPr="00C87AB1">
        <w:rPr>
          <w:b w:val="0"/>
          <w:bCs w:val="0"/>
        </w:rPr>
        <w:t>apurar</w:t>
      </w:r>
      <w:proofErr w:type="spellEnd"/>
      <w:r w:rsidRPr="00C87AB1">
        <w:rPr>
          <w:b w:val="0"/>
          <w:bCs w:val="0"/>
        </w:rPr>
        <w:t xml:space="preserve"> eventual</w:t>
      </w:r>
      <w:r w:rsidRPr="00FA1C68">
        <w:rPr>
          <w:b w:val="0"/>
          <w:bCs w:val="0"/>
        </w:rPr>
        <w:t xml:space="preserve"> </w:t>
      </w:r>
      <w:proofErr w:type="spellStart"/>
      <w:r w:rsidRPr="00C87AB1">
        <w:rPr>
          <w:b w:val="0"/>
          <w:bCs w:val="0"/>
        </w:rPr>
        <w:t>irregularidade</w:t>
      </w:r>
      <w:proofErr w:type="spellEnd"/>
      <w:r w:rsidRPr="00C87AB1">
        <w:rPr>
          <w:b w:val="0"/>
          <w:bCs w:val="0"/>
        </w:rPr>
        <w:t xml:space="preserve"> </w:t>
      </w:r>
      <w:proofErr w:type="spellStart"/>
      <w:r w:rsidRPr="00C87AB1">
        <w:rPr>
          <w:b w:val="0"/>
          <w:bCs w:val="0"/>
        </w:rPr>
        <w:t>na</w:t>
      </w:r>
      <w:proofErr w:type="spellEnd"/>
      <w:r w:rsidRPr="00C87AB1">
        <w:rPr>
          <w:b w:val="0"/>
          <w:bCs w:val="0"/>
        </w:rPr>
        <w:t xml:space="preserve"> </w:t>
      </w:r>
      <w:proofErr w:type="spellStart"/>
      <w:r w:rsidRPr="00C87AB1">
        <w:rPr>
          <w:b w:val="0"/>
          <w:bCs w:val="0"/>
        </w:rPr>
        <w:t>exigência</w:t>
      </w:r>
      <w:proofErr w:type="spellEnd"/>
      <w:r w:rsidRPr="00C87AB1">
        <w:rPr>
          <w:b w:val="0"/>
          <w:bCs w:val="0"/>
        </w:rPr>
        <w:t xml:space="preserve"> </w:t>
      </w:r>
      <w:proofErr w:type="spellStart"/>
      <w:r w:rsidRPr="00C87AB1">
        <w:rPr>
          <w:b w:val="0"/>
          <w:bCs w:val="0"/>
        </w:rPr>
        <w:t>prevista</w:t>
      </w:r>
      <w:proofErr w:type="spellEnd"/>
      <w:r w:rsidRPr="00C87AB1">
        <w:rPr>
          <w:b w:val="0"/>
          <w:bCs w:val="0"/>
        </w:rPr>
        <w:t xml:space="preserve"> no item 13.20.4.4.1 </w:t>
      </w:r>
      <w:proofErr w:type="gramStart"/>
      <w:r w:rsidRPr="00C87AB1">
        <w:rPr>
          <w:b w:val="0"/>
          <w:bCs w:val="0"/>
        </w:rPr>
        <w:t>do</w:t>
      </w:r>
      <w:proofErr w:type="gramEnd"/>
      <w:r w:rsidRPr="00C87AB1">
        <w:rPr>
          <w:b w:val="0"/>
          <w:bCs w:val="0"/>
        </w:rPr>
        <w:t xml:space="preserve"> </w:t>
      </w:r>
      <w:proofErr w:type="spellStart"/>
      <w:r w:rsidRPr="00C87AB1">
        <w:rPr>
          <w:b w:val="0"/>
          <w:bCs w:val="0"/>
        </w:rPr>
        <w:t>edital</w:t>
      </w:r>
      <w:proofErr w:type="spellEnd"/>
      <w:r w:rsidRPr="00C87AB1">
        <w:rPr>
          <w:b w:val="0"/>
          <w:bCs w:val="0"/>
        </w:rPr>
        <w:t xml:space="preserve"> do </w:t>
      </w:r>
      <w:proofErr w:type="spellStart"/>
      <w:r w:rsidRPr="00C87AB1">
        <w:rPr>
          <w:b w:val="0"/>
          <w:bCs w:val="0"/>
        </w:rPr>
        <w:t>Pregão</w:t>
      </w:r>
      <w:proofErr w:type="spellEnd"/>
      <w:r w:rsidRPr="00FA1C68">
        <w:rPr>
          <w:b w:val="0"/>
          <w:bCs w:val="0"/>
        </w:rPr>
        <w:t xml:space="preserve"> </w:t>
      </w:r>
      <w:proofErr w:type="spellStart"/>
      <w:r w:rsidRPr="00C87AB1">
        <w:rPr>
          <w:b w:val="0"/>
          <w:bCs w:val="0"/>
        </w:rPr>
        <w:t>Eletrônico</w:t>
      </w:r>
      <w:proofErr w:type="spellEnd"/>
      <w:r w:rsidRPr="00C87AB1">
        <w:rPr>
          <w:b w:val="0"/>
          <w:bCs w:val="0"/>
        </w:rPr>
        <w:t xml:space="preserve"> nº 90004/2025 do </w:t>
      </w:r>
      <w:proofErr w:type="spellStart"/>
      <w:r w:rsidRPr="00C87AB1">
        <w:rPr>
          <w:b w:val="0"/>
          <w:bCs w:val="0"/>
        </w:rPr>
        <w:t>Município</w:t>
      </w:r>
      <w:proofErr w:type="spellEnd"/>
      <w:r w:rsidRPr="00C87AB1">
        <w:rPr>
          <w:b w:val="0"/>
          <w:bCs w:val="0"/>
        </w:rPr>
        <w:t xml:space="preserve"> de São João, </w:t>
      </w:r>
      <w:proofErr w:type="spellStart"/>
      <w:r w:rsidRPr="00C87AB1">
        <w:rPr>
          <w:b w:val="0"/>
          <w:bCs w:val="0"/>
        </w:rPr>
        <w:t>em</w:t>
      </w:r>
      <w:proofErr w:type="spellEnd"/>
      <w:r w:rsidRPr="00C87AB1">
        <w:rPr>
          <w:b w:val="0"/>
          <w:bCs w:val="0"/>
        </w:rPr>
        <w:t xml:space="preserve"> especial </w:t>
      </w:r>
      <w:proofErr w:type="spellStart"/>
      <w:r w:rsidRPr="00C87AB1">
        <w:rPr>
          <w:b w:val="0"/>
          <w:bCs w:val="0"/>
        </w:rPr>
        <w:t>sobre</w:t>
      </w:r>
      <w:proofErr w:type="spellEnd"/>
      <w:r w:rsidRPr="00C87AB1">
        <w:rPr>
          <w:b w:val="0"/>
          <w:bCs w:val="0"/>
        </w:rPr>
        <w:t xml:space="preserve"> </w:t>
      </w:r>
      <w:proofErr w:type="gramStart"/>
      <w:r w:rsidRPr="00C87AB1">
        <w:rPr>
          <w:b w:val="0"/>
          <w:bCs w:val="0"/>
        </w:rPr>
        <w:t>a</w:t>
      </w:r>
      <w:proofErr w:type="gramEnd"/>
      <w:r w:rsidRPr="00C87AB1">
        <w:rPr>
          <w:b w:val="0"/>
          <w:bCs w:val="0"/>
        </w:rPr>
        <w:t xml:space="preserve"> </w:t>
      </w:r>
      <w:proofErr w:type="spellStart"/>
      <w:r w:rsidRPr="00C87AB1">
        <w:rPr>
          <w:b w:val="0"/>
          <w:bCs w:val="0"/>
        </w:rPr>
        <w:t>emissão</w:t>
      </w:r>
      <w:proofErr w:type="spellEnd"/>
      <w:r w:rsidRPr="00FA1C68">
        <w:rPr>
          <w:b w:val="0"/>
          <w:bCs w:val="0"/>
        </w:rPr>
        <w:t xml:space="preserve"> </w:t>
      </w:r>
      <w:r w:rsidRPr="00C87AB1">
        <w:rPr>
          <w:b w:val="0"/>
          <w:bCs w:val="0"/>
        </w:rPr>
        <w:t xml:space="preserve">de </w:t>
      </w:r>
      <w:proofErr w:type="spellStart"/>
      <w:r w:rsidRPr="00C87AB1">
        <w:rPr>
          <w:b w:val="0"/>
          <w:bCs w:val="0"/>
        </w:rPr>
        <w:t>Certificado</w:t>
      </w:r>
      <w:proofErr w:type="spellEnd"/>
      <w:r w:rsidRPr="00C87AB1">
        <w:rPr>
          <w:b w:val="0"/>
          <w:bCs w:val="0"/>
        </w:rPr>
        <w:t xml:space="preserve"> de </w:t>
      </w:r>
      <w:proofErr w:type="spellStart"/>
      <w:r w:rsidRPr="00C87AB1">
        <w:rPr>
          <w:b w:val="0"/>
          <w:bCs w:val="0"/>
        </w:rPr>
        <w:t>Acervo</w:t>
      </w:r>
      <w:proofErr w:type="spellEnd"/>
      <w:r w:rsidRPr="00C87AB1">
        <w:rPr>
          <w:b w:val="0"/>
          <w:bCs w:val="0"/>
        </w:rPr>
        <w:t xml:space="preserve"> Técnico </w:t>
      </w:r>
      <w:proofErr w:type="spellStart"/>
      <w:r w:rsidRPr="00C87AB1">
        <w:rPr>
          <w:b w:val="0"/>
          <w:bCs w:val="0"/>
        </w:rPr>
        <w:t>Profissional</w:t>
      </w:r>
      <w:proofErr w:type="spellEnd"/>
      <w:r w:rsidRPr="00C87AB1">
        <w:rPr>
          <w:b w:val="0"/>
          <w:bCs w:val="0"/>
        </w:rPr>
        <w:t xml:space="preserve"> </w:t>
      </w:r>
      <w:proofErr w:type="spellStart"/>
      <w:r w:rsidRPr="00C87AB1">
        <w:rPr>
          <w:b w:val="0"/>
          <w:bCs w:val="0"/>
        </w:rPr>
        <w:t>apenas</w:t>
      </w:r>
      <w:proofErr w:type="spellEnd"/>
      <w:r w:rsidRPr="00C87AB1">
        <w:rPr>
          <w:b w:val="0"/>
          <w:bCs w:val="0"/>
        </w:rPr>
        <w:t xml:space="preserve"> </w:t>
      </w:r>
      <w:proofErr w:type="spellStart"/>
      <w:r w:rsidRPr="00C87AB1">
        <w:rPr>
          <w:b w:val="0"/>
          <w:bCs w:val="0"/>
        </w:rPr>
        <w:t>por</w:t>
      </w:r>
      <w:proofErr w:type="spellEnd"/>
      <w:r w:rsidRPr="00C87AB1">
        <w:rPr>
          <w:b w:val="0"/>
          <w:bCs w:val="0"/>
        </w:rPr>
        <w:t xml:space="preserve"> </w:t>
      </w:r>
      <w:proofErr w:type="spellStart"/>
      <w:r w:rsidRPr="00C87AB1">
        <w:rPr>
          <w:b w:val="0"/>
          <w:bCs w:val="0"/>
        </w:rPr>
        <w:t>profissionais</w:t>
      </w:r>
      <w:proofErr w:type="spellEnd"/>
      <w:r w:rsidRPr="00C87AB1">
        <w:rPr>
          <w:b w:val="0"/>
          <w:bCs w:val="0"/>
        </w:rPr>
        <w:t xml:space="preserve"> </w:t>
      </w:r>
      <w:proofErr w:type="spellStart"/>
      <w:r w:rsidRPr="00C87AB1">
        <w:rPr>
          <w:b w:val="0"/>
          <w:bCs w:val="0"/>
        </w:rPr>
        <w:t>registrados</w:t>
      </w:r>
      <w:proofErr w:type="spellEnd"/>
      <w:r w:rsidRPr="00FA1C68">
        <w:rPr>
          <w:b w:val="0"/>
          <w:bCs w:val="0"/>
        </w:rPr>
        <w:t xml:space="preserve"> </w:t>
      </w:r>
      <w:r w:rsidRPr="00C87AB1">
        <w:rPr>
          <w:b w:val="0"/>
          <w:bCs w:val="0"/>
        </w:rPr>
        <w:t xml:space="preserve">no </w:t>
      </w:r>
      <w:proofErr w:type="spellStart"/>
      <w:r w:rsidRPr="00C87AB1">
        <w:rPr>
          <w:b w:val="0"/>
          <w:bCs w:val="0"/>
        </w:rPr>
        <w:t>Conselho</w:t>
      </w:r>
      <w:proofErr w:type="spellEnd"/>
      <w:r w:rsidRPr="00C87AB1">
        <w:rPr>
          <w:b w:val="0"/>
          <w:bCs w:val="0"/>
        </w:rPr>
        <w:t xml:space="preserve"> Regional de </w:t>
      </w:r>
      <w:proofErr w:type="spellStart"/>
      <w:r w:rsidRPr="00C87AB1">
        <w:rPr>
          <w:b w:val="0"/>
          <w:bCs w:val="0"/>
        </w:rPr>
        <w:t>Engenharia</w:t>
      </w:r>
      <w:proofErr w:type="spellEnd"/>
      <w:r w:rsidRPr="00C87AB1">
        <w:rPr>
          <w:b w:val="0"/>
          <w:bCs w:val="0"/>
        </w:rPr>
        <w:t xml:space="preserve"> e </w:t>
      </w:r>
      <w:proofErr w:type="spellStart"/>
      <w:r w:rsidRPr="00C87AB1">
        <w:rPr>
          <w:b w:val="0"/>
          <w:bCs w:val="0"/>
        </w:rPr>
        <w:t>Agronomia</w:t>
      </w:r>
      <w:proofErr w:type="spellEnd"/>
      <w:r w:rsidRPr="00C87AB1">
        <w:rPr>
          <w:b w:val="0"/>
          <w:bCs w:val="0"/>
        </w:rPr>
        <w:t xml:space="preserve"> (CREA) </w:t>
      </w:r>
      <w:proofErr w:type="spellStart"/>
      <w:r w:rsidRPr="00C87AB1">
        <w:rPr>
          <w:b w:val="0"/>
          <w:bCs w:val="0"/>
        </w:rPr>
        <w:t>ou</w:t>
      </w:r>
      <w:proofErr w:type="spellEnd"/>
      <w:r w:rsidRPr="00C87AB1">
        <w:rPr>
          <w:b w:val="0"/>
          <w:bCs w:val="0"/>
        </w:rPr>
        <w:t xml:space="preserve"> no </w:t>
      </w:r>
      <w:proofErr w:type="spellStart"/>
      <w:r w:rsidRPr="00C87AB1">
        <w:rPr>
          <w:b w:val="0"/>
          <w:bCs w:val="0"/>
        </w:rPr>
        <w:t>Conselho</w:t>
      </w:r>
      <w:proofErr w:type="spellEnd"/>
      <w:r w:rsidRPr="00C87AB1">
        <w:rPr>
          <w:b w:val="0"/>
          <w:bCs w:val="0"/>
        </w:rPr>
        <w:t xml:space="preserve"> de</w:t>
      </w:r>
      <w:r w:rsidRPr="00FA1C68">
        <w:rPr>
          <w:b w:val="0"/>
          <w:bCs w:val="0"/>
        </w:rPr>
        <w:t xml:space="preserve"> </w:t>
      </w:r>
      <w:proofErr w:type="spellStart"/>
      <w:r w:rsidRPr="00C87AB1">
        <w:rPr>
          <w:b w:val="0"/>
          <w:bCs w:val="0"/>
        </w:rPr>
        <w:t>Arquitetura</w:t>
      </w:r>
      <w:proofErr w:type="spellEnd"/>
      <w:r w:rsidRPr="00C87AB1">
        <w:rPr>
          <w:b w:val="0"/>
          <w:bCs w:val="0"/>
        </w:rPr>
        <w:t xml:space="preserve"> e </w:t>
      </w:r>
      <w:proofErr w:type="spellStart"/>
      <w:r w:rsidRPr="00C87AB1">
        <w:rPr>
          <w:b w:val="0"/>
          <w:bCs w:val="0"/>
        </w:rPr>
        <w:t>Urbanismo</w:t>
      </w:r>
      <w:proofErr w:type="spellEnd"/>
      <w:r w:rsidRPr="00C87AB1">
        <w:rPr>
          <w:b w:val="0"/>
          <w:bCs w:val="0"/>
        </w:rPr>
        <w:t xml:space="preserve"> (CAU).</w:t>
      </w:r>
      <w:bookmarkEnd w:id="6"/>
    </w:p>
    <w:p w14:paraId="7A413ED7" w14:textId="6C97DDBE" w:rsidR="00C87AB1" w:rsidRPr="00C87AB1" w:rsidRDefault="00C87AB1" w:rsidP="00FA1C68">
      <w:pPr>
        <w:pStyle w:val="Ttulo1"/>
        <w:snapToGrid w:val="0"/>
        <w:spacing w:before="120" w:after="120"/>
        <w:ind w:right="0"/>
        <w:rPr>
          <w:b w:val="0"/>
          <w:bCs w:val="0"/>
        </w:rPr>
      </w:pPr>
      <w:bookmarkStart w:id="7" w:name="_Toc224068164"/>
      <w:r w:rsidRPr="00FA1C68">
        <w:rPr>
          <w:b w:val="0"/>
          <w:bCs w:val="0"/>
        </w:rPr>
        <w:t xml:space="preserve">(…) </w:t>
      </w:r>
      <w:r w:rsidRPr="00C87AB1">
        <w:rPr>
          <w:b w:val="0"/>
          <w:bCs w:val="0"/>
          <w:lang w:val="pt-BR"/>
        </w:rPr>
        <w:t>observa-se</w:t>
      </w:r>
      <w:r w:rsidRPr="00FA1C68">
        <w:rPr>
          <w:b w:val="0"/>
          <w:bCs w:val="0"/>
          <w:lang w:val="pt-BR"/>
        </w:rPr>
        <w:t xml:space="preserve"> </w:t>
      </w:r>
      <w:r w:rsidRPr="00C87AB1">
        <w:rPr>
          <w:b w:val="0"/>
          <w:bCs w:val="0"/>
          <w:lang w:val="pt-BR"/>
        </w:rPr>
        <w:t xml:space="preserve">que o objeto do pregão foi claramente definido como sendo a </w:t>
      </w:r>
      <w:r w:rsidRPr="00C87AB1">
        <w:rPr>
          <w:b w:val="0"/>
          <w:bCs w:val="0"/>
          <w:i/>
          <w:iCs/>
          <w:lang w:val="pt-BR"/>
        </w:rPr>
        <w:t>“contratação de</w:t>
      </w:r>
      <w:r w:rsidRPr="00FA1C68">
        <w:rPr>
          <w:b w:val="0"/>
          <w:bCs w:val="0"/>
          <w:lang w:val="pt-BR"/>
        </w:rPr>
        <w:t xml:space="preserve"> </w:t>
      </w:r>
      <w:r w:rsidRPr="00C87AB1">
        <w:rPr>
          <w:b w:val="0"/>
          <w:bCs w:val="0"/>
          <w:i/>
          <w:iCs/>
          <w:lang w:val="pt-BR"/>
        </w:rPr>
        <w:t>empresa para fornecimento e instalação de sistema de energia fotovoltaica”</w:t>
      </w:r>
      <w:r w:rsidRPr="00C87AB1">
        <w:rPr>
          <w:b w:val="0"/>
          <w:bCs w:val="0"/>
          <w:lang w:val="pt-BR"/>
        </w:rPr>
        <w:t>.</w:t>
      </w:r>
      <w:bookmarkEnd w:id="7"/>
    </w:p>
    <w:p w14:paraId="7ED2947D" w14:textId="6220AA94" w:rsidR="00C87AB1" w:rsidRPr="00C87AB1" w:rsidRDefault="00C87AB1" w:rsidP="00FA1C68">
      <w:pPr>
        <w:pStyle w:val="Ttulo1"/>
        <w:snapToGrid w:val="0"/>
        <w:spacing w:before="120" w:after="120"/>
        <w:ind w:right="0"/>
        <w:rPr>
          <w:b w:val="0"/>
          <w:bCs w:val="0"/>
          <w:lang w:val="pt-BR"/>
        </w:rPr>
      </w:pPr>
      <w:bookmarkStart w:id="8" w:name="_Toc224068165"/>
      <w:r w:rsidRPr="00C87AB1">
        <w:rPr>
          <w:b w:val="0"/>
          <w:bCs w:val="0"/>
          <w:lang w:val="pt-BR"/>
        </w:rPr>
        <w:t>De acordo com a Resolução nº 74/2019 do CFT, os técnicos</w:t>
      </w:r>
      <w:r w:rsidRPr="00FA1C68">
        <w:rPr>
          <w:b w:val="0"/>
          <w:bCs w:val="0"/>
          <w:lang w:val="pt-BR"/>
        </w:rPr>
        <w:t xml:space="preserve"> </w:t>
      </w:r>
      <w:r w:rsidRPr="00C87AB1">
        <w:rPr>
          <w:b w:val="0"/>
          <w:bCs w:val="0"/>
          <w:lang w:val="pt-BR"/>
        </w:rPr>
        <w:t>industriais com habilitação em eletrotécnica estão autorizados a executar instalações</w:t>
      </w:r>
      <w:r w:rsidRPr="00FA1C68">
        <w:rPr>
          <w:b w:val="0"/>
          <w:bCs w:val="0"/>
          <w:lang w:val="pt-BR"/>
        </w:rPr>
        <w:t xml:space="preserve"> </w:t>
      </w:r>
      <w:r w:rsidRPr="00C87AB1">
        <w:rPr>
          <w:b w:val="0"/>
          <w:bCs w:val="0"/>
          <w:lang w:val="pt-BR"/>
        </w:rPr>
        <w:t>de fonte geradora fotovoltaica, limitada a uma demanda de energia de até 800 kVA:</w:t>
      </w:r>
      <w:bookmarkEnd w:id="8"/>
    </w:p>
    <w:p w14:paraId="3BA3B6A6" w14:textId="2EFF1931" w:rsidR="00C87AB1" w:rsidRPr="00C87AB1" w:rsidRDefault="00C87AB1" w:rsidP="00D1569C">
      <w:pPr>
        <w:pStyle w:val="Ttulo1"/>
        <w:snapToGrid w:val="0"/>
        <w:spacing w:before="120" w:after="120"/>
        <w:ind w:left="1134" w:right="0"/>
        <w:rPr>
          <w:b w:val="0"/>
          <w:bCs w:val="0"/>
          <w:lang w:val="pt-BR"/>
        </w:rPr>
      </w:pPr>
      <w:bookmarkStart w:id="9" w:name="_Toc224068166"/>
      <w:r w:rsidRPr="00FA1C68">
        <w:rPr>
          <w:b w:val="0"/>
          <w:bCs w:val="0"/>
          <w:i/>
          <w:iCs/>
          <w:lang w:val="pt-BR"/>
        </w:rPr>
        <w:t>‘</w:t>
      </w:r>
      <w:r w:rsidRPr="00C87AB1">
        <w:rPr>
          <w:b w:val="0"/>
          <w:bCs w:val="0"/>
          <w:i/>
          <w:iCs/>
          <w:lang w:val="pt-BR"/>
        </w:rPr>
        <w:t>Art. 3º Os Técnicos Industriais com habilitação em</w:t>
      </w:r>
      <w:bookmarkStart w:id="10" w:name="_Toc224068167"/>
      <w:bookmarkEnd w:id="9"/>
      <w:r w:rsidR="00D1569C">
        <w:rPr>
          <w:b w:val="0"/>
          <w:bCs w:val="0"/>
          <w:lang w:val="pt-BR"/>
        </w:rPr>
        <w:t xml:space="preserve"> </w:t>
      </w:r>
      <w:r w:rsidRPr="00C87AB1">
        <w:rPr>
          <w:b w:val="0"/>
          <w:bCs w:val="0"/>
          <w:i/>
          <w:iCs/>
          <w:lang w:val="pt-BR"/>
        </w:rPr>
        <w:t>eletrotécnica têm, ainda, as seguintes atribuições</w:t>
      </w:r>
      <w:bookmarkStart w:id="11" w:name="_Toc224068168"/>
      <w:bookmarkEnd w:id="10"/>
      <w:r w:rsidR="00D1569C">
        <w:rPr>
          <w:b w:val="0"/>
          <w:bCs w:val="0"/>
          <w:lang w:val="pt-BR"/>
        </w:rPr>
        <w:t xml:space="preserve"> </w:t>
      </w:r>
      <w:r w:rsidRPr="00C87AB1">
        <w:rPr>
          <w:b w:val="0"/>
          <w:bCs w:val="0"/>
          <w:i/>
          <w:iCs/>
          <w:lang w:val="pt-BR"/>
        </w:rPr>
        <w:t>técnicas:</w:t>
      </w:r>
      <w:bookmarkEnd w:id="11"/>
    </w:p>
    <w:p w14:paraId="12A2DF44" w14:textId="77777777" w:rsidR="00C87AB1" w:rsidRPr="00C87AB1" w:rsidRDefault="00C87AB1" w:rsidP="00D1569C">
      <w:pPr>
        <w:pStyle w:val="Ttulo1"/>
        <w:snapToGrid w:val="0"/>
        <w:spacing w:before="120" w:after="120"/>
        <w:ind w:left="1134" w:right="0"/>
        <w:rPr>
          <w:b w:val="0"/>
          <w:bCs w:val="0"/>
          <w:lang w:val="pt-BR"/>
        </w:rPr>
      </w:pPr>
      <w:bookmarkStart w:id="12" w:name="_Toc224068169"/>
      <w:r w:rsidRPr="00C87AB1">
        <w:rPr>
          <w:b w:val="0"/>
          <w:bCs w:val="0"/>
          <w:i/>
          <w:iCs/>
          <w:lang w:val="pt-BR"/>
        </w:rPr>
        <w:t>(...)</w:t>
      </w:r>
      <w:bookmarkEnd w:id="12"/>
    </w:p>
    <w:p w14:paraId="19FFDE8A" w14:textId="532D7700" w:rsidR="00C87AB1" w:rsidRPr="00C87AB1" w:rsidRDefault="00C87AB1" w:rsidP="00D1569C">
      <w:pPr>
        <w:pStyle w:val="Ttulo1"/>
        <w:snapToGrid w:val="0"/>
        <w:spacing w:before="120" w:after="120"/>
        <w:ind w:left="1134" w:right="0"/>
        <w:rPr>
          <w:b w:val="0"/>
          <w:bCs w:val="0"/>
          <w:lang w:val="pt-BR"/>
        </w:rPr>
      </w:pPr>
      <w:bookmarkStart w:id="13" w:name="_Toc224068170"/>
      <w:r w:rsidRPr="00C87AB1">
        <w:rPr>
          <w:b w:val="0"/>
          <w:bCs w:val="0"/>
          <w:i/>
          <w:iCs/>
          <w:lang w:val="pt-BR"/>
        </w:rPr>
        <w:t>IV- Elaborar projetos e executar as instalações</w:t>
      </w:r>
      <w:bookmarkStart w:id="14" w:name="_Toc224068171"/>
      <w:bookmarkEnd w:id="13"/>
      <w:r w:rsidR="00D1569C">
        <w:rPr>
          <w:b w:val="0"/>
          <w:bCs w:val="0"/>
          <w:lang w:val="pt-BR"/>
        </w:rPr>
        <w:t xml:space="preserve"> </w:t>
      </w:r>
      <w:r w:rsidRPr="00C87AB1">
        <w:rPr>
          <w:b w:val="0"/>
          <w:bCs w:val="0"/>
          <w:i/>
          <w:iCs/>
          <w:lang w:val="pt-BR"/>
        </w:rPr>
        <w:t>elétricas, e manutenção de redes oriundas de</w:t>
      </w:r>
      <w:bookmarkEnd w:id="14"/>
    </w:p>
    <w:p w14:paraId="08091F97" w14:textId="77777777" w:rsidR="00C87AB1" w:rsidRPr="00C87AB1" w:rsidRDefault="00C87AB1" w:rsidP="00D1569C">
      <w:pPr>
        <w:pStyle w:val="Ttulo1"/>
        <w:snapToGrid w:val="0"/>
        <w:spacing w:before="120" w:after="120"/>
        <w:ind w:left="1134" w:right="0"/>
        <w:rPr>
          <w:b w:val="0"/>
          <w:bCs w:val="0"/>
          <w:lang w:val="pt-BR"/>
        </w:rPr>
      </w:pPr>
      <w:bookmarkStart w:id="15" w:name="_Toc224068172"/>
      <w:r w:rsidRPr="00C87AB1">
        <w:rPr>
          <w:b w:val="0"/>
          <w:bCs w:val="0"/>
          <w:i/>
          <w:iCs/>
          <w:lang w:val="pt-BR"/>
        </w:rPr>
        <w:t>diversas fontes geradoras, como por exemplo:</w:t>
      </w:r>
      <w:bookmarkEnd w:id="15"/>
    </w:p>
    <w:p w14:paraId="610D93F5" w14:textId="77777777" w:rsidR="00C87AB1" w:rsidRPr="00C87AB1" w:rsidRDefault="00C87AB1" w:rsidP="00D1569C">
      <w:pPr>
        <w:pStyle w:val="Ttulo1"/>
        <w:snapToGrid w:val="0"/>
        <w:spacing w:before="120" w:after="120"/>
        <w:ind w:left="1134" w:right="0"/>
        <w:rPr>
          <w:b w:val="0"/>
          <w:bCs w:val="0"/>
          <w:lang w:val="pt-BR"/>
        </w:rPr>
      </w:pPr>
      <w:bookmarkStart w:id="16" w:name="_Toc224068173"/>
      <w:r w:rsidRPr="00C87AB1">
        <w:rPr>
          <w:b w:val="0"/>
          <w:bCs w:val="0"/>
          <w:i/>
          <w:iCs/>
          <w:lang w:val="pt-BR"/>
        </w:rPr>
        <w:t>(...)</w:t>
      </w:r>
      <w:bookmarkEnd w:id="16"/>
    </w:p>
    <w:p w14:paraId="60F20F5E" w14:textId="77777777" w:rsidR="00C87AB1" w:rsidRPr="00C87AB1" w:rsidRDefault="00C87AB1" w:rsidP="00D1569C">
      <w:pPr>
        <w:pStyle w:val="Ttulo1"/>
        <w:snapToGrid w:val="0"/>
        <w:spacing w:before="120" w:after="120"/>
        <w:ind w:left="1134" w:right="0"/>
        <w:rPr>
          <w:b w:val="0"/>
          <w:bCs w:val="0"/>
          <w:lang w:val="pt-BR"/>
        </w:rPr>
      </w:pPr>
      <w:bookmarkStart w:id="17" w:name="_Toc224068174"/>
      <w:r w:rsidRPr="00C87AB1">
        <w:rPr>
          <w:b w:val="0"/>
          <w:bCs w:val="0"/>
          <w:i/>
          <w:iCs/>
          <w:lang w:val="pt-BR"/>
        </w:rPr>
        <w:t>c) Solar - fotovoltaica, obtida pela luz do sol;</w:t>
      </w:r>
      <w:bookmarkEnd w:id="17"/>
    </w:p>
    <w:p w14:paraId="41448288" w14:textId="77777777" w:rsidR="00C87AB1" w:rsidRPr="00C87AB1" w:rsidRDefault="00C87AB1" w:rsidP="00D1569C">
      <w:pPr>
        <w:pStyle w:val="Ttulo1"/>
        <w:snapToGrid w:val="0"/>
        <w:spacing w:before="120" w:after="120"/>
        <w:ind w:left="1134" w:right="0"/>
        <w:rPr>
          <w:b w:val="0"/>
          <w:bCs w:val="0"/>
          <w:lang w:val="pt-BR"/>
        </w:rPr>
      </w:pPr>
      <w:bookmarkStart w:id="18" w:name="_Toc224068175"/>
      <w:r w:rsidRPr="00C87AB1">
        <w:rPr>
          <w:b w:val="0"/>
          <w:bCs w:val="0"/>
          <w:i/>
          <w:iCs/>
          <w:lang w:val="pt-BR"/>
        </w:rPr>
        <w:lastRenderedPageBreak/>
        <w:t>(...)</w:t>
      </w:r>
      <w:bookmarkEnd w:id="18"/>
    </w:p>
    <w:p w14:paraId="0E7F43FB" w14:textId="7AF90165" w:rsidR="00C87AB1" w:rsidRPr="00C87AB1" w:rsidRDefault="00C87AB1" w:rsidP="00D1569C">
      <w:pPr>
        <w:pStyle w:val="Ttulo1"/>
        <w:snapToGrid w:val="0"/>
        <w:spacing w:before="120" w:after="120"/>
        <w:ind w:left="1134" w:right="0"/>
        <w:rPr>
          <w:b w:val="0"/>
          <w:bCs w:val="0"/>
          <w:lang w:val="pt-BR"/>
        </w:rPr>
      </w:pPr>
      <w:bookmarkStart w:id="19" w:name="_Toc224068176"/>
      <w:r w:rsidRPr="00C87AB1">
        <w:rPr>
          <w:b w:val="0"/>
          <w:bCs w:val="0"/>
          <w:i/>
          <w:iCs/>
          <w:lang w:val="pt-BR"/>
        </w:rPr>
        <w:t>Art. 5° Os Técnicos em Eletrotécnica para as</w:t>
      </w:r>
      <w:r w:rsidRPr="00FA1C68">
        <w:rPr>
          <w:b w:val="0"/>
          <w:bCs w:val="0"/>
          <w:lang w:val="pt-BR"/>
        </w:rPr>
        <w:t xml:space="preserve"> </w:t>
      </w:r>
      <w:r w:rsidRPr="00C87AB1">
        <w:rPr>
          <w:b w:val="0"/>
          <w:bCs w:val="0"/>
          <w:i/>
          <w:iCs/>
          <w:lang w:val="pt-BR"/>
        </w:rPr>
        <w:t>prerrogativas, atribuições e competências</w:t>
      </w:r>
      <w:r w:rsidRPr="00FA1C68">
        <w:rPr>
          <w:b w:val="0"/>
          <w:bCs w:val="0"/>
          <w:lang w:val="pt-BR"/>
        </w:rPr>
        <w:t xml:space="preserve"> </w:t>
      </w:r>
      <w:r w:rsidRPr="00C87AB1">
        <w:rPr>
          <w:b w:val="0"/>
          <w:bCs w:val="0"/>
          <w:i/>
          <w:iCs/>
          <w:lang w:val="pt-BR"/>
        </w:rPr>
        <w:t>disciplinadas nesta Resolução, têm como limite as</w:t>
      </w:r>
      <w:r w:rsidRPr="00FA1C68">
        <w:rPr>
          <w:b w:val="0"/>
          <w:bCs w:val="0"/>
          <w:lang w:val="pt-BR"/>
        </w:rPr>
        <w:t xml:space="preserve"> </w:t>
      </w:r>
      <w:r w:rsidRPr="00C87AB1">
        <w:rPr>
          <w:b w:val="0"/>
          <w:bCs w:val="0"/>
          <w:i/>
          <w:iCs/>
          <w:lang w:val="pt-BR"/>
        </w:rPr>
        <w:t>instalações com demanda de energia de até 800</w:t>
      </w:r>
      <w:r w:rsidRPr="00FA1C68">
        <w:rPr>
          <w:b w:val="0"/>
          <w:bCs w:val="0"/>
          <w:lang w:val="pt-BR"/>
        </w:rPr>
        <w:t xml:space="preserve"> </w:t>
      </w:r>
      <w:r w:rsidRPr="00C87AB1">
        <w:rPr>
          <w:b w:val="0"/>
          <w:bCs w:val="0"/>
          <w:i/>
          <w:iCs/>
          <w:lang w:val="pt-BR"/>
        </w:rPr>
        <w:t>KVA, independentemente do nível de tensão que</w:t>
      </w:r>
      <w:r w:rsidRPr="00FA1C68">
        <w:rPr>
          <w:b w:val="0"/>
          <w:bCs w:val="0"/>
          <w:lang w:val="pt-BR"/>
        </w:rPr>
        <w:t xml:space="preserve"> </w:t>
      </w:r>
      <w:r w:rsidRPr="00C87AB1">
        <w:rPr>
          <w:b w:val="0"/>
          <w:bCs w:val="0"/>
          <w:i/>
          <w:iCs/>
          <w:lang w:val="pt-BR"/>
        </w:rPr>
        <w:t>supre esse montante de carga.</w:t>
      </w:r>
      <w:r w:rsidRPr="00FA1C68">
        <w:rPr>
          <w:b w:val="0"/>
          <w:bCs w:val="0"/>
          <w:i/>
          <w:iCs/>
          <w:lang w:val="pt-BR"/>
        </w:rPr>
        <w:t>’</w:t>
      </w:r>
      <w:bookmarkEnd w:id="19"/>
    </w:p>
    <w:p w14:paraId="244F6B32" w14:textId="76CE0A9A" w:rsidR="00C87AB1" w:rsidRPr="00C87AB1" w:rsidRDefault="00C87AB1" w:rsidP="00FA1C68">
      <w:pPr>
        <w:pStyle w:val="Ttulo1"/>
        <w:snapToGrid w:val="0"/>
        <w:spacing w:before="120" w:after="120"/>
        <w:ind w:right="0"/>
        <w:rPr>
          <w:b w:val="0"/>
          <w:bCs w:val="0"/>
          <w:lang w:val="pt-BR"/>
        </w:rPr>
      </w:pPr>
      <w:bookmarkStart w:id="20" w:name="_Toc224068177"/>
      <w:r w:rsidRPr="00C87AB1">
        <w:rPr>
          <w:b w:val="0"/>
          <w:bCs w:val="0"/>
          <w:lang w:val="pt-BR"/>
        </w:rPr>
        <w:t>No presente caso, a descrição do item, constante do Termo de</w:t>
      </w:r>
      <w:r w:rsidRPr="00FA1C68">
        <w:rPr>
          <w:b w:val="0"/>
          <w:bCs w:val="0"/>
          <w:lang w:val="pt-BR"/>
        </w:rPr>
        <w:t xml:space="preserve"> </w:t>
      </w:r>
      <w:r w:rsidRPr="00C87AB1">
        <w:rPr>
          <w:b w:val="0"/>
          <w:bCs w:val="0"/>
          <w:lang w:val="pt-BR"/>
        </w:rPr>
        <w:t xml:space="preserve">Referência, especificou que o conjunto de placas deve possuir </w:t>
      </w:r>
      <w:r w:rsidRPr="00C87AB1">
        <w:rPr>
          <w:b w:val="0"/>
          <w:bCs w:val="0"/>
          <w:i/>
          <w:iCs/>
          <w:lang w:val="pt-BR"/>
        </w:rPr>
        <w:t>“potência somada de</w:t>
      </w:r>
      <w:r w:rsidRPr="00FA1C68">
        <w:rPr>
          <w:b w:val="0"/>
          <w:bCs w:val="0"/>
          <w:lang w:val="pt-BR"/>
        </w:rPr>
        <w:t xml:space="preserve"> </w:t>
      </w:r>
      <w:r w:rsidRPr="00C87AB1">
        <w:rPr>
          <w:b w:val="0"/>
          <w:bCs w:val="0"/>
          <w:i/>
          <w:iCs/>
          <w:lang w:val="pt-BR"/>
        </w:rPr>
        <w:t xml:space="preserve">no mínimo 65 </w:t>
      </w:r>
      <w:proofErr w:type="spellStart"/>
      <w:r w:rsidRPr="00C87AB1">
        <w:rPr>
          <w:b w:val="0"/>
          <w:bCs w:val="0"/>
          <w:i/>
          <w:iCs/>
          <w:lang w:val="pt-BR"/>
        </w:rPr>
        <w:t>kWp</w:t>
      </w:r>
      <w:proofErr w:type="spellEnd"/>
      <w:r w:rsidRPr="00C87AB1">
        <w:rPr>
          <w:b w:val="0"/>
          <w:bCs w:val="0"/>
          <w:i/>
          <w:iCs/>
          <w:lang w:val="pt-BR"/>
        </w:rPr>
        <w:t>”</w:t>
      </w:r>
      <w:r w:rsidRPr="00C87AB1">
        <w:rPr>
          <w:b w:val="0"/>
          <w:bCs w:val="0"/>
          <w:lang w:val="pt-BR"/>
        </w:rPr>
        <w:t>, abaixo, portanto, do limite estabelecido pela norma do CFT,</w:t>
      </w:r>
      <w:r w:rsidRPr="00FA1C68">
        <w:rPr>
          <w:b w:val="0"/>
          <w:bCs w:val="0"/>
          <w:lang w:val="pt-BR"/>
        </w:rPr>
        <w:t xml:space="preserve"> </w:t>
      </w:r>
      <w:r w:rsidRPr="00C87AB1">
        <w:rPr>
          <w:b w:val="0"/>
          <w:bCs w:val="0"/>
          <w:lang w:val="pt-BR"/>
        </w:rPr>
        <w:t>conforme afirmado pela representante e não refutado no contraditório.</w:t>
      </w:r>
      <w:bookmarkEnd w:id="20"/>
    </w:p>
    <w:p w14:paraId="336E6676" w14:textId="4378C886" w:rsidR="00B25F41" w:rsidRDefault="00C87AB1" w:rsidP="00FA1C68">
      <w:pPr>
        <w:pStyle w:val="Ttulo1"/>
        <w:snapToGrid w:val="0"/>
        <w:spacing w:before="120" w:after="120"/>
        <w:ind w:right="0"/>
        <w:rPr>
          <w:b w:val="0"/>
          <w:bCs w:val="0"/>
          <w:lang w:val="pt-BR"/>
        </w:rPr>
      </w:pPr>
      <w:bookmarkStart w:id="21" w:name="_Toc224068178"/>
      <w:r w:rsidRPr="00C87AB1">
        <w:rPr>
          <w:b w:val="0"/>
          <w:bCs w:val="0"/>
          <w:lang w:val="pt-BR"/>
        </w:rPr>
        <w:t>Ademais, consoante ressaltou a unidade técnica, mostram-se frágeis</w:t>
      </w:r>
      <w:r w:rsidRPr="00FA1C68">
        <w:rPr>
          <w:b w:val="0"/>
          <w:bCs w:val="0"/>
          <w:lang w:val="pt-BR"/>
        </w:rPr>
        <w:t xml:space="preserve"> </w:t>
      </w:r>
      <w:r w:rsidRPr="00C87AB1">
        <w:rPr>
          <w:b w:val="0"/>
          <w:bCs w:val="0"/>
          <w:lang w:val="pt-BR"/>
        </w:rPr>
        <w:t>os argumentos da defesa em relação à necessidade da atuação de profissional</w:t>
      </w:r>
      <w:r w:rsidRPr="00FA1C68">
        <w:rPr>
          <w:b w:val="0"/>
          <w:bCs w:val="0"/>
          <w:lang w:val="pt-BR"/>
        </w:rPr>
        <w:t xml:space="preserve"> </w:t>
      </w:r>
      <w:r w:rsidRPr="00C87AB1">
        <w:rPr>
          <w:b w:val="0"/>
          <w:bCs w:val="0"/>
          <w:lang w:val="pt-BR"/>
        </w:rPr>
        <w:t>habilitado junto ao CREA ou CAU, porquanto não consta do edital exigência</w:t>
      </w:r>
      <w:r w:rsidRPr="00FA1C68">
        <w:rPr>
          <w:b w:val="0"/>
          <w:bCs w:val="0"/>
          <w:lang w:val="pt-BR"/>
        </w:rPr>
        <w:t xml:space="preserve"> </w:t>
      </w:r>
      <w:r w:rsidRPr="00C87AB1">
        <w:rPr>
          <w:b w:val="0"/>
          <w:bCs w:val="0"/>
          <w:lang w:val="pt-BR"/>
        </w:rPr>
        <w:t>específica que obrigue a participação de especialista em alguma dessas áreas.</w:t>
      </w:r>
      <w:bookmarkEnd w:id="5"/>
      <w:bookmarkEnd w:id="21"/>
    </w:p>
    <w:p w14:paraId="1BF85CED" w14:textId="08ECE34D" w:rsidR="00493928" w:rsidRPr="00FA1C68" w:rsidRDefault="00493928" w:rsidP="00493928">
      <w:pPr>
        <w:pStyle w:val="Ttulo1"/>
        <w:snapToGrid w:val="0"/>
        <w:spacing w:before="120" w:after="120"/>
        <w:ind w:right="-1"/>
        <w:rPr>
          <w:b w:val="0"/>
          <w:bCs w:val="0"/>
          <w:lang w:val="pt-BR"/>
        </w:rPr>
      </w:pPr>
      <w:r w:rsidRPr="00493928">
        <w:rPr>
          <w:b w:val="0"/>
          <w:bCs w:val="0"/>
          <w:lang w:val="pt-BR"/>
        </w:rPr>
        <w:t>Desse modo, dada a ausência de justificativas técnicas para a</w:t>
      </w:r>
      <w:r>
        <w:rPr>
          <w:b w:val="0"/>
          <w:bCs w:val="0"/>
          <w:lang w:val="pt-BR"/>
        </w:rPr>
        <w:t xml:space="preserve"> </w:t>
      </w:r>
      <w:r w:rsidRPr="00493928">
        <w:rPr>
          <w:b w:val="0"/>
          <w:bCs w:val="0"/>
          <w:lang w:val="pt-BR"/>
        </w:rPr>
        <w:t>exigência de registro da empresa ou de seu responsável técnico junto ao CREA ou</w:t>
      </w:r>
      <w:r>
        <w:rPr>
          <w:b w:val="0"/>
          <w:bCs w:val="0"/>
          <w:lang w:val="pt-BR"/>
        </w:rPr>
        <w:t xml:space="preserve"> </w:t>
      </w:r>
      <w:r w:rsidRPr="00493928">
        <w:rPr>
          <w:b w:val="0"/>
          <w:bCs w:val="0"/>
          <w:lang w:val="pt-BR"/>
        </w:rPr>
        <w:t>ao CAU ou da apresentação de Certificados de Acerto Técnico Profissional (</w:t>
      </w:r>
      <w:proofErr w:type="spellStart"/>
      <w:r w:rsidRPr="00493928">
        <w:rPr>
          <w:b w:val="0"/>
          <w:bCs w:val="0"/>
          <w:lang w:val="pt-BR"/>
        </w:rPr>
        <w:t>CATs</w:t>
      </w:r>
      <w:proofErr w:type="spellEnd"/>
      <w:r w:rsidRPr="00493928">
        <w:rPr>
          <w:b w:val="0"/>
          <w:bCs w:val="0"/>
          <w:lang w:val="pt-BR"/>
        </w:rPr>
        <w:t>)</w:t>
      </w:r>
      <w:r>
        <w:rPr>
          <w:b w:val="0"/>
          <w:bCs w:val="0"/>
          <w:lang w:val="pt-BR"/>
        </w:rPr>
        <w:t xml:space="preserve"> </w:t>
      </w:r>
      <w:r w:rsidRPr="00493928">
        <w:rPr>
          <w:b w:val="0"/>
          <w:bCs w:val="0"/>
          <w:lang w:val="pt-BR"/>
        </w:rPr>
        <w:t>emitidos, tão somente, por esses órgãos, dessume-se que o edital impôs restrições</w:t>
      </w:r>
      <w:r>
        <w:rPr>
          <w:b w:val="0"/>
          <w:bCs w:val="0"/>
          <w:lang w:val="pt-BR"/>
        </w:rPr>
        <w:t xml:space="preserve"> </w:t>
      </w:r>
      <w:r w:rsidRPr="00493928">
        <w:rPr>
          <w:b w:val="0"/>
          <w:bCs w:val="0"/>
          <w:lang w:val="pt-BR"/>
        </w:rPr>
        <w:t>indevidas, motivo pelo qual a representação deve ser julgada procedente.</w:t>
      </w:r>
      <w:r>
        <w:rPr>
          <w:b w:val="0"/>
          <w:bCs w:val="0"/>
          <w:lang w:val="pt-BR"/>
        </w:rPr>
        <w:t>”</w:t>
      </w:r>
    </w:p>
    <w:p w14:paraId="686C1A41" w14:textId="51675806" w:rsidR="00C87AB1" w:rsidRDefault="00C87AB1" w:rsidP="00C87AB1">
      <w:pPr>
        <w:pStyle w:val="Ttulo1"/>
        <w:snapToGrid w:val="0"/>
        <w:spacing w:before="120" w:after="240"/>
        <w:ind w:right="0"/>
        <w:rPr>
          <w:b w:val="0"/>
          <w:bCs w:val="0"/>
          <w:lang w:val="pt-BR"/>
        </w:rPr>
      </w:pPr>
      <w:bookmarkStart w:id="22" w:name="_Toc224068179"/>
      <w:r w:rsidRPr="00C87AB1">
        <w:rPr>
          <w:b w:val="0"/>
          <w:bCs w:val="0"/>
          <w:lang w:val="pt-BR"/>
        </w:rPr>
        <w:t xml:space="preserve">(REPRESENTAÇÃO DA LEI DE LICITAÇÕES n.º 174290/2025, </w:t>
      </w:r>
      <w:hyperlink r:id="rId15" w:history="1">
        <w:r w:rsidRPr="00C87AB1">
          <w:rPr>
            <w:rStyle w:val="Hyperlink"/>
            <w:b w:val="0"/>
            <w:bCs w:val="0"/>
            <w:lang w:val="pt-BR"/>
          </w:rPr>
          <w:t>Acórdão n.º 3121/2025</w:t>
        </w:r>
      </w:hyperlink>
      <w:r w:rsidRPr="00C87AB1">
        <w:rPr>
          <w:b w:val="0"/>
          <w:bCs w:val="0"/>
          <w:lang w:val="pt-BR"/>
        </w:rPr>
        <w:t>, Tribunal Pleno, Rel. IVAN LELIS BONILHA, julgado em 03/11/2025, veiculado em 12/11/2025 no DETC)</w:t>
      </w:r>
      <w:bookmarkEnd w:id="22"/>
    </w:p>
    <w:p w14:paraId="53ECA95B" w14:textId="1D414DB9" w:rsidR="00FA1C68" w:rsidRPr="00C87AB1" w:rsidRDefault="00FA1C68" w:rsidP="00FA1C68">
      <w:pPr>
        <w:pStyle w:val="Ttulo1"/>
        <w:spacing w:before="120" w:after="120"/>
        <w:ind w:right="-1"/>
        <w:rPr>
          <w:lang w:val="pt-BR"/>
        </w:rPr>
      </w:pPr>
      <w:bookmarkStart w:id="23" w:name="_Toc224068180"/>
      <w:r>
        <w:rPr>
          <w:lang w:val="pt-BR"/>
        </w:rPr>
        <w:t>3</w:t>
      </w:r>
      <w:r w:rsidRPr="00A93B0F">
        <w:rPr>
          <w:lang w:val="pt-BR"/>
        </w:rPr>
        <w:t>.</w:t>
      </w:r>
      <w:r>
        <w:rPr>
          <w:lang w:val="pt-BR"/>
        </w:rPr>
        <w:t xml:space="preserve"> </w:t>
      </w:r>
      <w:r w:rsidRPr="00FA1C68">
        <w:rPr>
          <w:lang w:val="pt-BR"/>
        </w:rPr>
        <w:t>Representação da Lei de Licitações. Concessão de prazo para complementação de documentos. Licença ambiental apresentada pela empresa vencedora com endereço que não mais lhe pertence. Inabilitação da empresa UTC Resíduos Sólidos Ltda. Parcial procedência, com emissão de recomendação e manutenção do contrato.</w:t>
      </w:r>
      <w:bookmarkEnd w:id="23"/>
      <w:r>
        <w:rPr>
          <w:lang w:val="pt-BR"/>
        </w:rPr>
        <w:t xml:space="preserve"> </w:t>
      </w:r>
    </w:p>
    <w:p w14:paraId="3929F17C" w14:textId="7A4216C2" w:rsidR="00FA1C68" w:rsidRDefault="000B5698" w:rsidP="00FA1C68">
      <w:pPr>
        <w:pStyle w:val="Ttulo1"/>
        <w:spacing w:before="120" w:after="120"/>
        <w:ind w:right="-1"/>
        <w:rPr>
          <w:lang w:val="pt-BR"/>
        </w:rPr>
      </w:pPr>
      <w:bookmarkStart w:id="24" w:name="_Toc224068181"/>
      <w:r>
        <w:rPr>
          <w:noProof/>
          <w:lang w:val="pt-BR"/>
        </w:rPr>
        <w:drawing>
          <wp:inline distT="0" distB="0" distL="0" distR="0" wp14:anchorId="67156662" wp14:editId="3C828B28">
            <wp:extent cx="467995" cy="467995"/>
            <wp:effectExtent l="0" t="0" r="1905" b="1905"/>
            <wp:docPr id="300367893" name="Imagem 7" descr="Uma imagem contendo 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67893" name="Imagem 7" descr="Uma imagem contendo Ícone&#10;&#10;O conteúdo gerado por IA pode estar incorre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1253" cy="501253"/>
                    </a:xfrm>
                    <a:prstGeom prst="rect">
                      <a:avLst/>
                    </a:prstGeom>
                  </pic:spPr>
                </pic:pic>
              </a:graphicData>
            </a:graphic>
          </wp:inline>
        </w:drawing>
      </w:r>
      <w:r>
        <w:rPr>
          <w:noProof/>
          <w:lang w:val="pt-BR"/>
        </w:rPr>
        <w:drawing>
          <wp:inline distT="0" distB="0" distL="0" distR="0" wp14:anchorId="20D956D1" wp14:editId="5B2BDB22">
            <wp:extent cx="464185" cy="464185"/>
            <wp:effectExtent l="0" t="0" r="5715" b="5715"/>
            <wp:docPr id="667716142" name="Imagem 8"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16142" name="Imagem 8" descr="Uma imagem contendo Texto&#10;&#10;O conteúdo gerado por IA pode estar incorret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9837" cy="499837"/>
                    </a:xfrm>
                    <a:prstGeom prst="rect">
                      <a:avLst/>
                    </a:prstGeom>
                  </pic:spPr>
                </pic:pic>
              </a:graphicData>
            </a:graphic>
          </wp:inline>
        </w:drawing>
      </w:r>
      <w:bookmarkEnd w:id="24"/>
    </w:p>
    <w:p w14:paraId="0C40A8C2" w14:textId="50B43D20" w:rsidR="00FA1C68" w:rsidRPr="00FA1C68" w:rsidRDefault="00FA1C68" w:rsidP="00FA1C68">
      <w:pPr>
        <w:pStyle w:val="p1"/>
        <w:spacing w:after="120"/>
        <w:jc w:val="both"/>
        <w:rPr>
          <w:color w:val="000000" w:themeColor="text1"/>
          <w:sz w:val="20"/>
          <w:szCs w:val="20"/>
        </w:rPr>
      </w:pPr>
      <w:r w:rsidRPr="00FA1C68">
        <w:rPr>
          <w:b/>
          <w:bCs/>
          <w:i/>
          <w:iCs/>
          <w:color w:val="000000" w:themeColor="text1"/>
          <w:sz w:val="20"/>
          <w:szCs w:val="20"/>
        </w:rPr>
        <w:t>“</w:t>
      </w:r>
      <w:r w:rsidRPr="00FA1C68">
        <w:rPr>
          <w:color w:val="000000" w:themeColor="text1"/>
          <w:sz w:val="20"/>
          <w:szCs w:val="20"/>
        </w:rPr>
        <w:t>A Representante alega que a LO - Licença de Operação</w:t>
      </w:r>
      <w:r w:rsidRPr="00FA1C68">
        <w:rPr>
          <w:color w:val="000000" w:themeColor="text1"/>
          <w:sz w:val="20"/>
          <w:szCs w:val="20"/>
        </w:rPr>
        <w:t xml:space="preserve"> </w:t>
      </w:r>
      <w:r w:rsidRPr="00FA1C68">
        <w:rPr>
          <w:color w:val="000000" w:themeColor="text1"/>
          <w:sz w:val="20"/>
          <w:szCs w:val="20"/>
        </w:rPr>
        <w:t>apresentada pela empresa vencedora não se encontra regular, pois o endereço que</w:t>
      </w:r>
      <w:r w:rsidRPr="00FA1C68">
        <w:rPr>
          <w:color w:val="000000" w:themeColor="text1"/>
          <w:sz w:val="20"/>
          <w:szCs w:val="20"/>
        </w:rPr>
        <w:t xml:space="preserve"> </w:t>
      </w:r>
      <w:r w:rsidRPr="00FA1C68">
        <w:rPr>
          <w:color w:val="000000" w:themeColor="text1"/>
          <w:sz w:val="20"/>
          <w:szCs w:val="20"/>
        </w:rPr>
        <w:t>consta em tal licença é LINHA SÃO LUIZ S/N, endereço não mais pertencente à</w:t>
      </w:r>
      <w:r w:rsidRPr="00FA1C68">
        <w:rPr>
          <w:color w:val="000000" w:themeColor="text1"/>
          <w:sz w:val="20"/>
          <w:szCs w:val="20"/>
        </w:rPr>
        <w:t xml:space="preserve"> </w:t>
      </w:r>
      <w:r w:rsidRPr="00FA1C68">
        <w:rPr>
          <w:color w:val="000000" w:themeColor="text1"/>
          <w:sz w:val="20"/>
          <w:szCs w:val="20"/>
        </w:rPr>
        <w:t>empresa licitante.</w:t>
      </w:r>
    </w:p>
    <w:p w14:paraId="66F135A4" w14:textId="76C1B363" w:rsidR="00FA1C68" w:rsidRPr="00FA1C68" w:rsidRDefault="00FA1C68" w:rsidP="00FA1C68">
      <w:pPr>
        <w:pStyle w:val="p1"/>
        <w:spacing w:after="120"/>
        <w:jc w:val="both"/>
        <w:rPr>
          <w:color w:val="000000" w:themeColor="text1"/>
          <w:sz w:val="20"/>
          <w:szCs w:val="20"/>
        </w:rPr>
      </w:pPr>
      <w:r w:rsidRPr="00FA1C68">
        <w:rPr>
          <w:color w:val="000000" w:themeColor="text1"/>
          <w:sz w:val="20"/>
          <w:szCs w:val="20"/>
        </w:rPr>
        <w:t>No entanto, conforme bem alegou o Município, a empresa</w:t>
      </w:r>
      <w:r w:rsidRPr="00FA1C68">
        <w:rPr>
          <w:color w:val="000000" w:themeColor="text1"/>
          <w:sz w:val="20"/>
          <w:szCs w:val="20"/>
        </w:rPr>
        <w:t xml:space="preserve"> </w:t>
      </w:r>
      <w:r w:rsidRPr="00FA1C68">
        <w:rPr>
          <w:color w:val="000000" w:themeColor="text1"/>
          <w:sz w:val="20"/>
          <w:szCs w:val="20"/>
        </w:rPr>
        <w:t>vencedora possui endereços distintos para sua sede jurídica e sua base operacional,</w:t>
      </w:r>
      <w:r w:rsidRPr="00FA1C68">
        <w:rPr>
          <w:color w:val="000000" w:themeColor="text1"/>
          <w:sz w:val="20"/>
          <w:szCs w:val="20"/>
        </w:rPr>
        <w:t xml:space="preserve"> </w:t>
      </w:r>
      <w:r w:rsidRPr="00FA1C68">
        <w:rPr>
          <w:color w:val="000000" w:themeColor="text1"/>
          <w:sz w:val="20"/>
          <w:szCs w:val="20"/>
        </w:rPr>
        <w:t>sendo que a licença ambiental foi concedida ao local onde ocorre a operação e não</w:t>
      </w:r>
      <w:r w:rsidRPr="00FA1C68">
        <w:rPr>
          <w:color w:val="000000" w:themeColor="text1"/>
          <w:sz w:val="20"/>
          <w:szCs w:val="20"/>
        </w:rPr>
        <w:t xml:space="preserve"> </w:t>
      </w:r>
      <w:r w:rsidRPr="00FA1C68">
        <w:rPr>
          <w:color w:val="000000" w:themeColor="text1"/>
          <w:sz w:val="20"/>
          <w:szCs w:val="20"/>
        </w:rPr>
        <w:t>para a sede administrativa, nos seguintes termos:</w:t>
      </w:r>
    </w:p>
    <w:p w14:paraId="410B227E" w14:textId="22ADA32E" w:rsidR="00FA1C68" w:rsidRPr="00FA1C68" w:rsidRDefault="00FA1C68" w:rsidP="00FA1C68">
      <w:pPr>
        <w:pStyle w:val="p1"/>
        <w:spacing w:after="120"/>
        <w:jc w:val="both"/>
        <w:rPr>
          <w:color w:val="000000" w:themeColor="text1"/>
          <w:sz w:val="20"/>
          <w:szCs w:val="20"/>
        </w:rPr>
      </w:pPr>
      <w:r w:rsidRPr="00FA1C68">
        <w:rPr>
          <w:color w:val="000000" w:themeColor="text1"/>
          <w:sz w:val="20"/>
          <w:szCs w:val="20"/>
        </w:rPr>
        <w:t>‘</w:t>
      </w:r>
      <w:r w:rsidRPr="00FA1C68">
        <w:rPr>
          <w:color w:val="000000" w:themeColor="text1"/>
          <w:sz w:val="20"/>
          <w:szCs w:val="20"/>
        </w:rPr>
        <w:t>A empresa SABIA, em sua contrarrazão, esclareceu que possu</w:t>
      </w:r>
      <w:r w:rsidRPr="00FA1C68">
        <w:rPr>
          <w:color w:val="000000" w:themeColor="text1"/>
          <w:sz w:val="20"/>
          <w:szCs w:val="20"/>
        </w:rPr>
        <w:t xml:space="preserve">i </w:t>
      </w:r>
      <w:r w:rsidRPr="00FA1C68">
        <w:rPr>
          <w:color w:val="000000" w:themeColor="text1"/>
          <w:sz w:val="20"/>
          <w:szCs w:val="20"/>
        </w:rPr>
        <w:t>endereços distintos para sua sede jurídica e sua base operacional, sendo que a</w:t>
      </w:r>
      <w:r w:rsidRPr="00FA1C68">
        <w:rPr>
          <w:color w:val="000000" w:themeColor="text1"/>
          <w:sz w:val="20"/>
          <w:szCs w:val="20"/>
        </w:rPr>
        <w:t xml:space="preserve"> </w:t>
      </w:r>
      <w:r w:rsidRPr="00FA1C68">
        <w:rPr>
          <w:color w:val="000000" w:themeColor="text1"/>
          <w:sz w:val="20"/>
          <w:szCs w:val="20"/>
        </w:rPr>
        <w:t>Licença Ambiental foi emitida para esta última. Tal situação é respaldada pela</w:t>
      </w:r>
      <w:r w:rsidRPr="00FA1C68">
        <w:rPr>
          <w:color w:val="000000" w:themeColor="text1"/>
          <w:sz w:val="20"/>
          <w:szCs w:val="20"/>
        </w:rPr>
        <w:t xml:space="preserve"> </w:t>
      </w:r>
      <w:r w:rsidRPr="00FA1C68">
        <w:rPr>
          <w:color w:val="000000" w:themeColor="text1"/>
          <w:sz w:val="20"/>
          <w:szCs w:val="20"/>
        </w:rPr>
        <w:t>jurisprudência do Tribunal de Justiça do Estado do Paraná, conforme consta no</w:t>
      </w:r>
      <w:r w:rsidRPr="00FA1C68">
        <w:rPr>
          <w:color w:val="000000" w:themeColor="text1"/>
          <w:sz w:val="20"/>
          <w:szCs w:val="20"/>
        </w:rPr>
        <w:t xml:space="preserve"> </w:t>
      </w:r>
      <w:r w:rsidRPr="00FA1C68">
        <w:rPr>
          <w:color w:val="000000" w:themeColor="text1"/>
          <w:sz w:val="20"/>
          <w:szCs w:val="20"/>
        </w:rPr>
        <w:t>Acórdão do Processo 0016773-70.2021.8.16.0000, que reconhece a validade de</w:t>
      </w:r>
      <w:r w:rsidRPr="00FA1C68">
        <w:rPr>
          <w:color w:val="000000" w:themeColor="text1"/>
          <w:sz w:val="20"/>
          <w:szCs w:val="20"/>
        </w:rPr>
        <w:t xml:space="preserve"> </w:t>
      </w:r>
      <w:r w:rsidRPr="00FA1C68">
        <w:rPr>
          <w:rFonts w:eastAsia="Calibri" w:cs="Calibri"/>
          <w:color w:val="000000" w:themeColor="text1"/>
          <w:sz w:val="20"/>
          <w:szCs w:val="20"/>
          <w:lang w:eastAsia="en-US"/>
        </w:rPr>
        <w:t>licenças concedidas a endereços de operação diferentes do contrato social, desde</w:t>
      </w:r>
      <w:r>
        <w:rPr>
          <w:color w:val="000000" w:themeColor="text1"/>
          <w:sz w:val="20"/>
          <w:szCs w:val="20"/>
        </w:rPr>
        <w:t xml:space="preserve"> </w:t>
      </w:r>
      <w:r w:rsidRPr="00FA1C68">
        <w:rPr>
          <w:rFonts w:eastAsia="Calibri" w:cs="Calibri"/>
          <w:color w:val="000000" w:themeColor="text1"/>
          <w:sz w:val="20"/>
          <w:szCs w:val="20"/>
          <w:lang w:eastAsia="en-US"/>
        </w:rPr>
        <w:t>que emitidas pelo órgão ambiental competente.</w:t>
      </w:r>
      <w:r w:rsidRPr="00FA1C68">
        <w:rPr>
          <w:rFonts w:eastAsia="Calibri" w:cs="Calibri"/>
          <w:color w:val="000000" w:themeColor="text1"/>
          <w:sz w:val="20"/>
          <w:szCs w:val="20"/>
          <w:lang w:eastAsia="en-US"/>
        </w:rPr>
        <w:t>’</w:t>
      </w:r>
    </w:p>
    <w:p w14:paraId="14402EE7" w14:textId="1BCA306B" w:rsidR="00FA1C68" w:rsidRPr="00FA1C68" w:rsidRDefault="00FA1C68" w:rsidP="00FA1C68">
      <w:pPr>
        <w:pStyle w:val="p1"/>
        <w:spacing w:after="120"/>
        <w:jc w:val="both"/>
        <w:rPr>
          <w:rFonts w:eastAsia="Calibri" w:cs="Calibri"/>
          <w:color w:val="000000" w:themeColor="text1"/>
          <w:sz w:val="20"/>
          <w:szCs w:val="20"/>
          <w:lang w:eastAsia="en-US"/>
        </w:rPr>
      </w:pPr>
      <w:r w:rsidRPr="00FA1C68">
        <w:rPr>
          <w:rFonts w:eastAsia="Calibri" w:cs="Calibri"/>
          <w:color w:val="000000" w:themeColor="text1"/>
          <w:sz w:val="20"/>
          <w:szCs w:val="20"/>
          <w:lang w:eastAsia="en-US"/>
        </w:rPr>
        <w:t xml:space="preserve">Além disso, ainda nas palavras da defesa, </w:t>
      </w:r>
      <w:r w:rsidRPr="00FA1C68">
        <w:rPr>
          <w:rFonts w:eastAsia="Calibri" w:cs="Calibri"/>
          <w:color w:val="000000" w:themeColor="text1"/>
          <w:sz w:val="20"/>
          <w:szCs w:val="20"/>
          <w:lang w:eastAsia="en-US"/>
        </w:rPr>
        <w:t>‘</w:t>
      </w:r>
      <w:r w:rsidRPr="00FA1C68">
        <w:rPr>
          <w:rFonts w:eastAsia="Calibri" w:cs="Calibri"/>
          <w:i/>
          <w:iCs/>
          <w:color w:val="000000" w:themeColor="text1"/>
          <w:sz w:val="20"/>
          <w:szCs w:val="20"/>
          <w:lang w:eastAsia="en-US"/>
        </w:rPr>
        <w:t>a responsabilidade pela</w:t>
      </w:r>
      <w:r w:rsidRPr="00FA1C68">
        <w:rPr>
          <w:rFonts w:eastAsia="Calibri" w:cs="Calibri"/>
          <w:color w:val="000000" w:themeColor="text1"/>
          <w:sz w:val="20"/>
          <w:szCs w:val="20"/>
          <w:lang w:eastAsia="en-US"/>
        </w:rPr>
        <w:t xml:space="preserve"> </w:t>
      </w:r>
      <w:r w:rsidRPr="00FA1C68">
        <w:rPr>
          <w:rFonts w:eastAsia="Calibri" w:cs="Calibri"/>
          <w:i/>
          <w:iCs/>
          <w:color w:val="000000" w:themeColor="text1"/>
          <w:sz w:val="20"/>
          <w:szCs w:val="20"/>
          <w:lang w:eastAsia="en-US"/>
        </w:rPr>
        <w:t>atualização do endereço no documento é da empresa, enquanto a fiscalização</w:t>
      </w:r>
      <w:r w:rsidRPr="00FA1C68">
        <w:rPr>
          <w:rFonts w:eastAsia="Calibri" w:cs="Calibri"/>
          <w:color w:val="000000" w:themeColor="text1"/>
          <w:sz w:val="20"/>
          <w:szCs w:val="20"/>
          <w:lang w:eastAsia="en-US"/>
        </w:rPr>
        <w:t xml:space="preserve"> </w:t>
      </w:r>
      <w:r w:rsidRPr="00FA1C68">
        <w:rPr>
          <w:rFonts w:eastAsia="Calibri" w:cs="Calibri"/>
          <w:i/>
          <w:iCs/>
          <w:color w:val="000000" w:themeColor="text1"/>
          <w:sz w:val="20"/>
          <w:szCs w:val="20"/>
          <w:lang w:eastAsia="en-US"/>
        </w:rPr>
        <w:t>dessa atualização cabe ao órgão ambiental competente. Desde que a Licença de</w:t>
      </w:r>
      <w:r w:rsidRPr="00FA1C68">
        <w:rPr>
          <w:rFonts w:eastAsia="Calibri" w:cs="Calibri"/>
          <w:color w:val="000000" w:themeColor="text1"/>
          <w:sz w:val="20"/>
          <w:szCs w:val="20"/>
          <w:lang w:eastAsia="en-US"/>
        </w:rPr>
        <w:t xml:space="preserve"> </w:t>
      </w:r>
      <w:r w:rsidRPr="00FA1C68">
        <w:rPr>
          <w:rFonts w:eastAsia="Calibri" w:cs="Calibri"/>
          <w:i/>
          <w:iCs/>
          <w:color w:val="000000" w:themeColor="text1"/>
          <w:sz w:val="20"/>
          <w:szCs w:val="20"/>
          <w:lang w:eastAsia="en-US"/>
        </w:rPr>
        <w:t>Operação (LO) esteja válida, vigente e vinculada ao CNPJ da empresa, sua</w:t>
      </w:r>
      <w:r w:rsidRPr="00FA1C68">
        <w:rPr>
          <w:rFonts w:eastAsia="Calibri" w:cs="Calibri"/>
          <w:color w:val="000000" w:themeColor="text1"/>
          <w:sz w:val="20"/>
          <w:szCs w:val="20"/>
          <w:lang w:eastAsia="en-US"/>
        </w:rPr>
        <w:t xml:space="preserve"> </w:t>
      </w:r>
      <w:r w:rsidRPr="00FA1C68">
        <w:rPr>
          <w:rFonts w:eastAsia="Calibri" w:cs="Calibri"/>
          <w:i/>
          <w:iCs/>
          <w:color w:val="000000" w:themeColor="text1"/>
          <w:sz w:val="20"/>
          <w:szCs w:val="20"/>
          <w:lang w:eastAsia="en-US"/>
        </w:rPr>
        <w:t>aceitação no certame licitatório é legalmente sustentável</w:t>
      </w:r>
      <w:r w:rsidRPr="00FA1C68">
        <w:rPr>
          <w:rFonts w:eastAsia="Calibri" w:cs="Calibri"/>
          <w:color w:val="000000" w:themeColor="text1"/>
          <w:sz w:val="20"/>
          <w:szCs w:val="20"/>
          <w:lang w:eastAsia="en-US"/>
        </w:rPr>
        <w:t>’.</w:t>
      </w:r>
    </w:p>
    <w:p w14:paraId="7135C133" w14:textId="77777777" w:rsidR="000B5698" w:rsidRDefault="00FA1C68" w:rsidP="00FA1C68">
      <w:pPr>
        <w:pStyle w:val="p1"/>
        <w:spacing w:after="120"/>
        <w:jc w:val="both"/>
        <w:rPr>
          <w:rFonts w:eastAsia="Calibri" w:cs="Calibri"/>
          <w:color w:val="000000" w:themeColor="text1"/>
          <w:sz w:val="20"/>
          <w:szCs w:val="20"/>
          <w:lang w:eastAsia="en-US"/>
        </w:rPr>
      </w:pPr>
      <w:r w:rsidRPr="00FA1C68">
        <w:rPr>
          <w:rFonts w:eastAsia="Calibri" w:cs="Calibri"/>
          <w:color w:val="000000" w:themeColor="text1"/>
          <w:sz w:val="20"/>
          <w:szCs w:val="20"/>
          <w:lang w:eastAsia="en-US"/>
        </w:rPr>
        <w:t xml:space="preserve">A empresa vencedora da licitação, em </w:t>
      </w:r>
      <w:proofErr w:type="spellStart"/>
      <w:r w:rsidRPr="00FA1C68">
        <w:rPr>
          <w:rFonts w:eastAsia="Calibri" w:cs="Calibri"/>
          <w:color w:val="000000" w:themeColor="text1"/>
          <w:sz w:val="20"/>
          <w:szCs w:val="20"/>
          <w:lang w:eastAsia="en-US"/>
        </w:rPr>
        <w:t>contrarazões</w:t>
      </w:r>
      <w:proofErr w:type="spellEnd"/>
      <w:r w:rsidRPr="00FA1C68">
        <w:rPr>
          <w:rFonts w:eastAsia="Calibri" w:cs="Calibri"/>
          <w:color w:val="000000" w:themeColor="text1"/>
          <w:sz w:val="20"/>
          <w:szCs w:val="20"/>
          <w:lang w:eastAsia="en-US"/>
        </w:rPr>
        <w:t xml:space="preserve"> ao recurso</w:t>
      </w:r>
      <w:r w:rsidRPr="00FA1C68">
        <w:rPr>
          <w:rFonts w:eastAsia="Calibri" w:cs="Calibri"/>
          <w:color w:val="000000" w:themeColor="text1"/>
          <w:sz w:val="20"/>
          <w:szCs w:val="20"/>
          <w:lang w:eastAsia="en-US"/>
        </w:rPr>
        <w:t xml:space="preserve"> </w:t>
      </w:r>
      <w:r w:rsidRPr="00FA1C68">
        <w:rPr>
          <w:rFonts w:eastAsia="Calibri" w:cs="Calibri"/>
          <w:color w:val="000000" w:themeColor="text1"/>
          <w:sz w:val="20"/>
          <w:szCs w:val="20"/>
          <w:lang w:eastAsia="en-US"/>
        </w:rPr>
        <w:t xml:space="preserve">administrativo interposto perante o Município, esclareceu que </w:t>
      </w:r>
      <w:r w:rsidRPr="00FA1C68">
        <w:rPr>
          <w:rFonts w:eastAsia="Calibri" w:cs="Calibri"/>
          <w:color w:val="000000" w:themeColor="text1"/>
          <w:sz w:val="20"/>
          <w:szCs w:val="20"/>
          <w:lang w:eastAsia="en-US"/>
        </w:rPr>
        <w:t>‘</w:t>
      </w:r>
      <w:r w:rsidRPr="00FA1C68">
        <w:rPr>
          <w:rFonts w:eastAsia="Calibri" w:cs="Calibri"/>
          <w:i/>
          <w:iCs/>
          <w:color w:val="000000" w:themeColor="text1"/>
          <w:sz w:val="20"/>
          <w:szCs w:val="20"/>
          <w:lang w:eastAsia="en-US"/>
        </w:rPr>
        <w:t>houve a mudança de</w:t>
      </w:r>
      <w:r w:rsidRPr="00FA1C68">
        <w:rPr>
          <w:rFonts w:eastAsia="Calibri" w:cs="Calibri"/>
          <w:color w:val="000000" w:themeColor="text1"/>
          <w:sz w:val="20"/>
          <w:szCs w:val="20"/>
          <w:lang w:eastAsia="en-US"/>
        </w:rPr>
        <w:t xml:space="preserve"> </w:t>
      </w:r>
      <w:r w:rsidRPr="00FA1C68">
        <w:rPr>
          <w:rFonts w:eastAsia="Calibri" w:cs="Calibri"/>
          <w:i/>
          <w:iCs/>
          <w:color w:val="000000" w:themeColor="text1"/>
          <w:sz w:val="20"/>
          <w:szCs w:val="20"/>
          <w:lang w:eastAsia="en-US"/>
        </w:rPr>
        <w:t>endereço da sede da empresa. Entretanto, sua base operacional continua sendo no</w:t>
      </w:r>
      <w:r w:rsidRPr="00FA1C68">
        <w:rPr>
          <w:rFonts w:eastAsia="Calibri" w:cs="Calibri"/>
          <w:color w:val="000000" w:themeColor="text1"/>
          <w:sz w:val="20"/>
          <w:szCs w:val="20"/>
          <w:lang w:eastAsia="en-US"/>
        </w:rPr>
        <w:t xml:space="preserve"> </w:t>
      </w:r>
      <w:r w:rsidRPr="00FA1C68">
        <w:rPr>
          <w:rFonts w:eastAsia="Calibri" w:cs="Calibri"/>
          <w:i/>
          <w:iCs/>
          <w:color w:val="000000" w:themeColor="text1"/>
          <w:sz w:val="20"/>
          <w:szCs w:val="20"/>
          <w:lang w:eastAsia="en-US"/>
        </w:rPr>
        <w:t>mesmo endereço indicado na Licença de Operação, qual seja, na Linha Felicidade</w:t>
      </w:r>
      <w:r w:rsidRPr="00FA1C68">
        <w:rPr>
          <w:rFonts w:eastAsia="Calibri" w:cs="Calibri"/>
          <w:color w:val="000000" w:themeColor="text1"/>
          <w:sz w:val="20"/>
          <w:szCs w:val="20"/>
          <w:lang w:eastAsia="en-US"/>
        </w:rPr>
        <w:t>”;</w:t>
      </w:r>
      <w:r w:rsidRPr="00FA1C68">
        <w:rPr>
          <w:rFonts w:eastAsia="Calibri" w:cs="Calibri"/>
          <w:color w:val="000000" w:themeColor="text1"/>
          <w:sz w:val="20"/>
          <w:szCs w:val="20"/>
          <w:lang w:eastAsia="en-US"/>
        </w:rPr>
        <w:t xml:space="preserve"> </w:t>
      </w:r>
      <w:r w:rsidRPr="00FA1C68">
        <w:rPr>
          <w:rFonts w:eastAsia="Calibri" w:cs="Calibri"/>
          <w:color w:val="000000" w:themeColor="text1"/>
          <w:sz w:val="20"/>
          <w:szCs w:val="20"/>
          <w:lang w:eastAsia="en-US"/>
        </w:rPr>
        <w:t xml:space="preserve">e que </w:t>
      </w:r>
      <w:r w:rsidRPr="00FA1C68">
        <w:rPr>
          <w:rFonts w:eastAsia="Calibri" w:cs="Calibri"/>
          <w:color w:val="000000" w:themeColor="text1"/>
          <w:sz w:val="20"/>
          <w:szCs w:val="20"/>
          <w:lang w:eastAsia="en-US"/>
        </w:rPr>
        <w:t>‘</w:t>
      </w:r>
      <w:r w:rsidRPr="00FA1C68">
        <w:rPr>
          <w:rFonts w:eastAsia="Calibri" w:cs="Calibri"/>
          <w:i/>
          <w:iCs/>
          <w:color w:val="000000" w:themeColor="text1"/>
          <w:sz w:val="20"/>
          <w:szCs w:val="20"/>
          <w:lang w:eastAsia="en-US"/>
        </w:rPr>
        <w:t>não há, no presente caso, nenhuma divergência documental que a inabilitaria</w:t>
      </w:r>
      <w:r w:rsidRPr="00FA1C68">
        <w:rPr>
          <w:rFonts w:eastAsia="Calibri" w:cs="Calibri"/>
          <w:color w:val="000000" w:themeColor="text1"/>
          <w:sz w:val="20"/>
          <w:szCs w:val="20"/>
          <w:lang w:eastAsia="en-US"/>
        </w:rPr>
        <w:t xml:space="preserve"> </w:t>
      </w:r>
      <w:r w:rsidRPr="00FA1C68">
        <w:rPr>
          <w:rFonts w:eastAsia="Calibri" w:cs="Calibri"/>
          <w:i/>
          <w:iCs/>
          <w:color w:val="000000" w:themeColor="text1"/>
          <w:sz w:val="20"/>
          <w:szCs w:val="20"/>
          <w:lang w:eastAsia="en-US"/>
        </w:rPr>
        <w:t>perante esta licitação, até porque, o empreendimento é um só, porém com</w:t>
      </w:r>
      <w:r w:rsidRPr="00FA1C68">
        <w:rPr>
          <w:rFonts w:eastAsia="Calibri" w:cs="Calibri"/>
          <w:color w:val="000000" w:themeColor="text1"/>
          <w:sz w:val="20"/>
          <w:szCs w:val="20"/>
          <w:lang w:eastAsia="en-US"/>
        </w:rPr>
        <w:t xml:space="preserve"> </w:t>
      </w:r>
      <w:r w:rsidRPr="00FA1C68">
        <w:rPr>
          <w:rFonts w:eastAsia="Calibri" w:cs="Calibri"/>
          <w:i/>
          <w:iCs/>
          <w:color w:val="000000" w:themeColor="text1"/>
          <w:sz w:val="20"/>
          <w:szCs w:val="20"/>
          <w:lang w:eastAsia="en-US"/>
        </w:rPr>
        <w:t>endereços de base operacional e escritório distintos. Isso porque, no contrato social</w:t>
      </w:r>
      <w:r>
        <w:rPr>
          <w:rFonts w:eastAsia="Calibri" w:cs="Calibri"/>
          <w:color w:val="000000" w:themeColor="text1"/>
          <w:sz w:val="20"/>
          <w:szCs w:val="20"/>
          <w:lang w:eastAsia="en-US"/>
        </w:rPr>
        <w:t xml:space="preserve"> </w:t>
      </w:r>
      <w:r w:rsidRPr="00FA1C68">
        <w:rPr>
          <w:rFonts w:eastAsia="Calibri" w:cs="Calibri"/>
          <w:i/>
          <w:iCs/>
          <w:color w:val="000000" w:themeColor="text1"/>
          <w:sz w:val="20"/>
          <w:szCs w:val="20"/>
          <w:lang w:eastAsia="en-US"/>
        </w:rPr>
        <w:lastRenderedPageBreak/>
        <w:t>se encontra a sede jurídica da empresa, já na licença emitida pelo IAT, a base</w:t>
      </w:r>
      <w:r w:rsidRPr="00FA1C68">
        <w:rPr>
          <w:rFonts w:eastAsia="Calibri" w:cs="Calibri"/>
          <w:color w:val="000000" w:themeColor="text1"/>
          <w:sz w:val="20"/>
          <w:szCs w:val="20"/>
          <w:lang w:eastAsia="en-US"/>
        </w:rPr>
        <w:t xml:space="preserve"> </w:t>
      </w:r>
      <w:r w:rsidRPr="00FA1C68">
        <w:rPr>
          <w:rFonts w:eastAsia="Calibri" w:cs="Calibri"/>
          <w:i/>
          <w:iCs/>
          <w:color w:val="000000" w:themeColor="text1"/>
          <w:sz w:val="20"/>
          <w:szCs w:val="20"/>
          <w:lang w:eastAsia="en-US"/>
        </w:rPr>
        <w:t>operacional devidamente licenciada</w:t>
      </w:r>
      <w:r w:rsidRPr="00FA1C68">
        <w:rPr>
          <w:rFonts w:eastAsia="Calibri" w:cs="Calibri"/>
          <w:color w:val="000000" w:themeColor="text1"/>
          <w:sz w:val="20"/>
          <w:szCs w:val="20"/>
          <w:lang w:eastAsia="en-US"/>
        </w:rPr>
        <w:t>’.</w:t>
      </w:r>
    </w:p>
    <w:p w14:paraId="1E7B7972" w14:textId="77777777" w:rsidR="000B5698" w:rsidRDefault="000B5698" w:rsidP="00FA1C68">
      <w:pPr>
        <w:pStyle w:val="p1"/>
        <w:spacing w:after="120"/>
        <w:jc w:val="both"/>
        <w:rPr>
          <w:rFonts w:eastAsia="Calibri" w:cs="Calibri"/>
          <w:color w:val="000000" w:themeColor="text1"/>
          <w:sz w:val="20"/>
          <w:szCs w:val="20"/>
          <w:lang w:eastAsia="en-US"/>
        </w:rPr>
      </w:pPr>
      <w:r>
        <w:rPr>
          <w:rFonts w:eastAsia="Calibri" w:cs="Calibri"/>
          <w:color w:val="000000" w:themeColor="text1"/>
          <w:sz w:val="20"/>
          <w:szCs w:val="20"/>
          <w:lang w:eastAsia="en-US"/>
        </w:rPr>
        <w:t>(...)</w:t>
      </w:r>
    </w:p>
    <w:p w14:paraId="69284AD0" w14:textId="2545580E" w:rsidR="00FA1C68" w:rsidRDefault="000B5698" w:rsidP="00FA1C68">
      <w:pPr>
        <w:pStyle w:val="p1"/>
        <w:spacing w:after="120"/>
        <w:jc w:val="both"/>
        <w:rPr>
          <w:rFonts w:eastAsia="Calibri" w:cs="Calibri"/>
          <w:color w:val="000000" w:themeColor="text1"/>
          <w:sz w:val="20"/>
          <w:szCs w:val="20"/>
          <w:lang w:eastAsia="en-US"/>
        </w:rPr>
      </w:pPr>
      <w:r w:rsidRPr="000B5698">
        <w:rPr>
          <w:rFonts w:eastAsia="Calibri" w:cs="Calibri"/>
          <w:color w:val="000000" w:themeColor="text1"/>
          <w:sz w:val="20"/>
          <w:szCs w:val="20"/>
          <w:lang w:eastAsia="en-US"/>
        </w:rPr>
        <w:t>Desse modo, tendo em vista que a LO - Licença de Operação</w:t>
      </w:r>
      <w:r>
        <w:rPr>
          <w:rFonts w:eastAsia="Calibri" w:cs="Calibri"/>
          <w:color w:val="000000" w:themeColor="text1"/>
          <w:sz w:val="20"/>
          <w:szCs w:val="20"/>
          <w:lang w:eastAsia="en-US"/>
        </w:rPr>
        <w:t xml:space="preserve"> </w:t>
      </w:r>
      <w:r w:rsidRPr="000B5698">
        <w:rPr>
          <w:rFonts w:eastAsia="Calibri" w:cs="Calibri"/>
          <w:color w:val="000000" w:themeColor="text1"/>
          <w:sz w:val="20"/>
          <w:szCs w:val="20"/>
          <w:lang w:eastAsia="en-US"/>
        </w:rPr>
        <w:t>apresentada pela empresa vencedora se encontrava válida, constando o endereço</w:t>
      </w:r>
      <w:r>
        <w:rPr>
          <w:rFonts w:eastAsia="Calibri" w:cs="Calibri"/>
          <w:color w:val="000000" w:themeColor="text1"/>
          <w:sz w:val="20"/>
          <w:szCs w:val="20"/>
          <w:lang w:eastAsia="en-US"/>
        </w:rPr>
        <w:t xml:space="preserve"> </w:t>
      </w:r>
      <w:r w:rsidRPr="000B5698">
        <w:rPr>
          <w:rFonts w:eastAsia="Calibri" w:cs="Calibri"/>
          <w:color w:val="000000" w:themeColor="text1"/>
          <w:sz w:val="20"/>
          <w:szCs w:val="20"/>
          <w:lang w:eastAsia="en-US"/>
        </w:rPr>
        <w:t>de sua operação, verifico que deve ser julgado improcedente este apontamento.</w:t>
      </w:r>
      <w:r w:rsidR="00FA1C68">
        <w:rPr>
          <w:rFonts w:eastAsia="Calibri" w:cs="Calibri"/>
          <w:color w:val="000000" w:themeColor="text1"/>
          <w:sz w:val="20"/>
          <w:szCs w:val="20"/>
          <w:lang w:eastAsia="en-US"/>
        </w:rPr>
        <w:t xml:space="preserve">” </w:t>
      </w:r>
    </w:p>
    <w:p w14:paraId="7017DB71" w14:textId="704FDA23" w:rsidR="00FA1C68" w:rsidRDefault="00FA1C68" w:rsidP="000B5698">
      <w:pPr>
        <w:pStyle w:val="p1"/>
        <w:snapToGrid w:val="0"/>
        <w:spacing w:after="240"/>
        <w:jc w:val="both"/>
        <w:rPr>
          <w:rFonts w:eastAsia="Calibri" w:cs="Calibri"/>
          <w:color w:val="000000" w:themeColor="text1"/>
          <w:sz w:val="20"/>
          <w:szCs w:val="20"/>
          <w:lang w:eastAsia="en-US"/>
        </w:rPr>
      </w:pPr>
      <w:r w:rsidRPr="00FA1C68">
        <w:rPr>
          <w:rFonts w:eastAsia="Calibri" w:cs="Calibri"/>
          <w:color w:val="000000" w:themeColor="text1"/>
          <w:sz w:val="20"/>
          <w:szCs w:val="20"/>
          <w:lang w:eastAsia="en-US"/>
        </w:rPr>
        <w:t xml:space="preserve">(REPRESENTAÇÃO DA LEI DE LICITAÇÕES n.º 131109/2025, </w:t>
      </w:r>
      <w:hyperlink r:id="rId18" w:history="1">
        <w:r w:rsidRPr="00FA1C68">
          <w:rPr>
            <w:rStyle w:val="Hyperlink"/>
            <w:rFonts w:eastAsia="Calibri" w:cs="Calibri"/>
            <w:sz w:val="20"/>
            <w:szCs w:val="20"/>
            <w:lang w:eastAsia="en-US"/>
          </w:rPr>
          <w:t>Acórdão n.º 3105/2025</w:t>
        </w:r>
      </w:hyperlink>
      <w:r w:rsidRPr="00FA1C68">
        <w:rPr>
          <w:rFonts w:eastAsia="Calibri" w:cs="Calibri"/>
          <w:color w:val="000000" w:themeColor="text1"/>
          <w:sz w:val="20"/>
          <w:szCs w:val="20"/>
          <w:lang w:eastAsia="en-US"/>
        </w:rPr>
        <w:t>, Tribunal Pleno, Rel. FERNANDO AUGUSTO MELLO GUIMARÃES, julgado em 03/11/2025, veiculado em 12/11/2025 no DETC)</w:t>
      </w:r>
    </w:p>
    <w:p w14:paraId="37CBD34B" w14:textId="4E24A936" w:rsidR="000B5698" w:rsidRPr="00C87AB1" w:rsidRDefault="000B5698" w:rsidP="000B5698">
      <w:pPr>
        <w:pStyle w:val="Ttulo1"/>
        <w:spacing w:before="120" w:after="120"/>
        <w:ind w:right="-1"/>
        <w:rPr>
          <w:lang w:val="pt-BR"/>
        </w:rPr>
      </w:pPr>
      <w:bookmarkStart w:id="25" w:name="_Toc224068182"/>
      <w:r>
        <w:rPr>
          <w:lang w:val="pt-BR"/>
        </w:rPr>
        <w:t>4</w:t>
      </w:r>
      <w:r w:rsidRPr="00A93B0F">
        <w:rPr>
          <w:lang w:val="pt-BR"/>
        </w:rPr>
        <w:t>.</w:t>
      </w:r>
      <w:r>
        <w:rPr>
          <w:lang w:val="pt-BR"/>
        </w:rPr>
        <w:t xml:space="preserve"> </w:t>
      </w:r>
      <w:r w:rsidRPr="000B5698">
        <w:rPr>
          <w:lang w:val="pt-BR"/>
        </w:rPr>
        <w:t>Homologação de Recomendações propostas pela Coordenadoria De Auditorias. Plano Anual de Fiscalização 2024-2025. Auditoria de Mobilidade Urbana. Município de Maringá. Recomendações. Homologação.</w:t>
      </w:r>
      <w:bookmarkEnd w:id="25"/>
    </w:p>
    <w:p w14:paraId="5157701D" w14:textId="2ABA7393" w:rsidR="000B5698" w:rsidRDefault="000B5698" w:rsidP="000B5698">
      <w:pPr>
        <w:pStyle w:val="Ttulo1"/>
        <w:spacing w:before="120" w:after="120"/>
        <w:ind w:right="-1"/>
        <w:rPr>
          <w:lang w:val="pt-BR"/>
        </w:rPr>
      </w:pPr>
      <w:bookmarkStart w:id="26" w:name="_Toc224068183"/>
      <w:r>
        <w:rPr>
          <w:noProof/>
          <w:lang w:val="pt-BR"/>
        </w:rPr>
        <w:drawing>
          <wp:inline distT="0" distB="0" distL="0" distR="0" wp14:anchorId="4DF0A638" wp14:editId="535ABDB0">
            <wp:extent cx="464695" cy="464695"/>
            <wp:effectExtent l="0" t="0" r="5715" b="5715"/>
            <wp:docPr id="734130446" name="Imagem 9"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30446" name="Imagem 9" descr="Ícone&#10;&#10;O conteúdo gerado por IA pode estar incorreto."/>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3132" cy="493132"/>
                    </a:xfrm>
                    <a:prstGeom prst="rect">
                      <a:avLst/>
                    </a:prstGeom>
                  </pic:spPr>
                </pic:pic>
              </a:graphicData>
            </a:graphic>
          </wp:inline>
        </w:drawing>
      </w:r>
      <w:r>
        <w:rPr>
          <w:noProof/>
          <w:lang w:val="pt-BR"/>
        </w:rPr>
        <w:drawing>
          <wp:inline distT="0" distB="0" distL="0" distR="0" wp14:anchorId="6804B195" wp14:editId="331BFA36">
            <wp:extent cx="467995" cy="467995"/>
            <wp:effectExtent l="0" t="0" r="1905" b="1905"/>
            <wp:docPr id="401650932" name="Imagem 7" descr="Uma imagem contendo 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67893" name="Imagem 7" descr="Uma imagem contendo Ícone&#10;&#10;O conteúdo gerado por IA pode estar incorre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1253" cy="501253"/>
                    </a:xfrm>
                    <a:prstGeom prst="rect">
                      <a:avLst/>
                    </a:prstGeom>
                  </pic:spPr>
                </pic:pic>
              </a:graphicData>
            </a:graphic>
          </wp:inline>
        </w:drawing>
      </w:r>
      <w:r>
        <w:rPr>
          <w:noProof/>
          <w:lang w:val="pt-BR"/>
        </w:rPr>
        <w:drawing>
          <wp:inline distT="0" distB="0" distL="0" distR="0" wp14:anchorId="63229552" wp14:editId="3B291BCA">
            <wp:extent cx="464185" cy="464185"/>
            <wp:effectExtent l="0" t="0" r="5715" b="5715"/>
            <wp:docPr id="1317986360" name="Imagem 8"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16142" name="Imagem 8" descr="Uma imagem contendo Texto&#10;&#10;O conteúdo gerado por IA pode estar incorret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9837" cy="499837"/>
                    </a:xfrm>
                    <a:prstGeom prst="rect">
                      <a:avLst/>
                    </a:prstGeom>
                  </pic:spPr>
                </pic:pic>
              </a:graphicData>
            </a:graphic>
          </wp:inline>
        </w:drawing>
      </w:r>
      <w:bookmarkEnd w:id="26"/>
    </w:p>
    <w:p w14:paraId="2274E1DA" w14:textId="529F0FAC" w:rsidR="000B5698" w:rsidRDefault="000B5698" w:rsidP="001F5C38">
      <w:pPr>
        <w:pStyle w:val="p1"/>
        <w:snapToGrid w:val="0"/>
        <w:spacing w:after="120"/>
        <w:jc w:val="both"/>
        <w:rPr>
          <w:color w:val="000000" w:themeColor="text1"/>
          <w:sz w:val="20"/>
          <w:szCs w:val="20"/>
        </w:rPr>
      </w:pPr>
      <w:r w:rsidRPr="00FA1C68">
        <w:rPr>
          <w:b/>
          <w:bCs/>
          <w:i/>
          <w:iCs/>
          <w:color w:val="000000" w:themeColor="text1"/>
          <w:sz w:val="20"/>
          <w:szCs w:val="20"/>
        </w:rPr>
        <w:t>“</w:t>
      </w:r>
      <w:r w:rsidRPr="000B5698">
        <w:rPr>
          <w:color w:val="000000" w:themeColor="text1"/>
          <w:sz w:val="20"/>
          <w:szCs w:val="20"/>
        </w:rPr>
        <w:t>Trata-se de processo de homologação de recomendações</w:t>
      </w:r>
      <w:r>
        <w:rPr>
          <w:color w:val="000000" w:themeColor="text1"/>
          <w:sz w:val="20"/>
          <w:szCs w:val="20"/>
        </w:rPr>
        <w:t xml:space="preserve"> </w:t>
      </w:r>
      <w:r w:rsidRPr="000B5698">
        <w:rPr>
          <w:color w:val="000000" w:themeColor="text1"/>
          <w:sz w:val="20"/>
          <w:szCs w:val="20"/>
        </w:rPr>
        <w:t>oriundas de relatório de auditoria (peça 4) encaminhado pela Coordenadoria de</w:t>
      </w:r>
      <w:r>
        <w:rPr>
          <w:color w:val="000000" w:themeColor="text1"/>
          <w:sz w:val="20"/>
          <w:szCs w:val="20"/>
        </w:rPr>
        <w:t xml:space="preserve"> </w:t>
      </w:r>
      <w:r w:rsidRPr="000B5698">
        <w:rPr>
          <w:color w:val="000000" w:themeColor="text1"/>
          <w:sz w:val="20"/>
          <w:szCs w:val="20"/>
        </w:rPr>
        <w:t>Auditorias em decorrência de fiscalização, realizada no Município de Maringá, no</w:t>
      </w:r>
      <w:r>
        <w:rPr>
          <w:color w:val="000000" w:themeColor="text1"/>
          <w:sz w:val="20"/>
          <w:szCs w:val="20"/>
        </w:rPr>
        <w:t xml:space="preserve"> </w:t>
      </w:r>
      <w:r w:rsidRPr="000B5698">
        <w:rPr>
          <w:color w:val="000000" w:themeColor="text1"/>
          <w:sz w:val="20"/>
          <w:szCs w:val="20"/>
        </w:rPr>
        <w:t>período de 09/06/25 a 22/10/25, no âmbito do Plano de Fiscalização de 2024-2025</w:t>
      </w:r>
      <w:r>
        <w:rPr>
          <w:color w:val="000000" w:themeColor="text1"/>
          <w:sz w:val="20"/>
          <w:szCs w:val="20"/>
        </w:rPr>
        <w:t xml:space="preserve"> </w:t>
      </w:r>
      <w:r w:rsidRPr="000B5698">
        <w:rPr>
          <w:color w:val="000000" w:themeColor="text1"/>
          <w:sz w:val="20"/>
          <w:szCs w:val="20"/>
        </w:rPr>
        <w:t>deste Tribunal.</w:t>
      </w:r>
    </w:p>
    <w:p w14:paraId="75358EDA" w14:textId="5495DD4D" w:rsidR="001F5C38" w:rsidRDefault="001F5C38" w:rsidP="001F5C38">
      <w:pPr>
        <w:pStyle w:val="p1"/>
        <w:snapToGrid w:val="0"/>
        <w:spacing w:after="120"/>
        <w:jc w:val="both"/>
        <w:rPr>
          <w:color w:val="000000" w:themeColor="text1"/>
          <w:sz w:val="20"/>
          <w:szCs w:val="20"/>
        </w:rPr>
      </w:pPr>
      <w:r>
        <w:rPr>
          <w:color w:val="000000" w:themeColor="text1"/>
          <w:sz w:val="20"/>
          <w:szCs w:val="20"/>
        </w:rPr>
        <w:t>(...)</w:t>
      </w:r>
    </w:p>
    <w:p w14:paraId="5AD096FF" w14:textId="007E5233" w:rsidR="001F5C38" w:rsidRPr="001F5C38" w:rsidRDefault="001F5C38" w:rsidP="001F5C38">
      <w:pPr>
        <w:pStyle w:val="p1"/>
        <w:snapToGrid w:val="0"/>
        <w:spacing w:after="120"/>
        <w:jc w:val="both"/>
        <w:rPr>
          <w:color w:val="000000" w:themeColor="text1"/>
          <w:sz w:val="20"/>
          <w:szCs w:val="20"/>
        </w:rPr>
      </w:pPr>
      <w:r w:rsidRPr="001F5C38">
        <w:rPr>
          <w:color w:val="000000" w:themeColor="text1"/>
          <w:sz w:val="20"/>
          <w:szCs w:val="20"/>
        </w:rPr>
        <w:t>Como resultado dos trabalhos, ao final remanesceram 6 (seis)</w:t>
      </w:r>
      <w:r>
        <w:rPr>
          <w:color w:val="000000" w:themeColor="text1"/>
          <w:sz w:val="20"/>
          <w:szCs w:val="20"/>
        </w:rPr>
        <w:t xml:space="preserve"> </w:t>
      </w:r>
      <w:r w:rsidRPr="001F5C38">
        <w:rPr>
          <w:color w:val="000000" w:themeColor="text1"/>
          <w:sz w:val="20"/>
          <w:szCs w:val="20"/>
        </w:rPr>
        <w:t>achados e sugeridas as seguintes recomendações ao referido município:</w:t>
      </w:r>
    </w:p>
    <w:p w14:paraId="54479E75" w14:textId="1EB701D5" w:rsidR="001F5C38" w:rsidRPr="001F5C38" w:rsidRDefault="001F5C38" w:rsidP="001F5C38">
      <w:pPr>
        <w:pStyle w:val="p1"/>
        <w:snapToGrid w:val="0"/>
        <w:spacing w:after="120"/>
        <w:jc w:val="both"/>
        <w:rPr>
          <w:color w:val="000000" w:themeColor="text1"/>
          <w:sz w:val="20"/>
          <w:szCs w:val="20"/>
        </w:rPr>
      </w:pPr>
      <w:r w:rsidRPr="001F5C38">
        <w:rPr>
          <w:color w:val="000000" w:themeColor="text1"/>
          <w:sz w:val="20"/>
          <w:szCs w:val="20"/>
        </w:rPr>
        <w:t>Achado 1 - A infraestrutura viária apresenta deficiências em termos de</w:t>
      </w:r>
      <w:r w:rsidRPr="001F5C38">
        <w:rPr>
          <w:color w:val="000000" w:themeColor="text1"/>
          <w:sz w:val="20"/>
          <w:szCs w:val="20"/>
        </w:rPr>
        <w:t xml:space="preserve"> </w:t>
      </w:r>
      <w:r w:rsidRPr="001F5C38">
        <w:rPr>
          <w:color w:val="000000" w:themeColor="text1"/>
          <w:sz w:val="20"/>
          <w:szCs w:val="20"/>
        </w:rPr>
        <w:t>acessibilidade e não oferece condições adequadas para deslocamentos a pé.</w:t>
      </w:r>
    </w:p>
    <w:p w14:paraId="142C7C3F" w14:textId="5A240AD6" w:rsidR="001F5C38" w:rsidRPr="001F5C38" w:rsidRDefault="001F5C38" w:rsidP="001F5C38">
      <w:pPr>
        <w:pStyle w:val="p1"/>
        <w:snapToGrid w:val="0"/>
        <w:spacing w:after="120"/>
        <w:jc w:val="both"/>
        <w:rPr>
          <w:color w:val="000000" w:themeColor="text1"/>
          <w:sz w:val="20"/>
          <w:szCs w:val="20"/>
        </w:rPr>
      </w:pPr>
      <w:r w:rsidRPr="001F5C38">
        <w:rPr>
          <w:color w:val="000000" w:themeColor="text1"/>
          <w:sz w:val="20"/>
          <w:szCs w:val="20"/>
        </w:rPr>
        <w:t>(...)</w:t>
      </w:r>
    </w:p>
    <w:p w14:paraId="7C7D44E0" w14:textId="0C4409B4" w:rsidR="001F5C38" w:rsidRPr="001F5C38" w:rsidRDefault="001F5C38" w:rsidP="001F5C38">
      <w:pPr>
        <w:pStyle w:val="p1"/>
        <w:snapToGrid w:val="0"/>
        <w:spacing w:after="120"/>
        <w:jc w:val="both"/>
        <w:rPr>
          <w:color w:val="000000" w:themeColor="text1"/>
          <w:sz w:val="20"/>
          <w:szCs w:val="20"/>
        </w:rPr>
      </w:pPr>
      <w:r w:rsidRPr="001F5C38">
        <w:rPr>
          <w:color w:val="000000" w:themeColor="text1"/>
          <w:sz w:val="20"/>
          <w:szCs w:val="20"/>
        </w:rPr>
        <w:t>Achado 2 - Ha inadequações na normativa municipal sobre padrões de</w:t>
      </w:r>
      <w:r w:rsidRPr="001F5C38">
        <w:rPr>
          <w:color w:val="000000" w:themeColor="text1"/>
          <w:sz w:val="20"/>
          <w:szCs w:val="20"/>
        </w:rPr>
        <w:t xml:space="preserve"> </w:t>
      </w:r>
      <w:r w:rsidRPr="001F5C38">
        <w:rPr>
          <w:color w:val="000000" w:themeColor="text1"/>
          <w:sz w:val="20"/>
          <w:szCs w:val="20"/>
        </w:rPr>
        <w:t>calçadas.</w:t>
      </w:r>
    </w:p>
    <w:p w14:paraId="041A2764" w14:textId="4534CB92" w:rsidR="001F5C38" w:rsidRDefault="001F5C38" w:rsidP="001F5C38">
      <w:pPr>
        <w:pStyle w:val="p1"/>
        <w:snapToGrid w:val="0"/>
        <w:spacing w:after="120"/>
        <w:jc w:val="both"/>
        <w:rPr>
          <w:color w:val="000000" w:themeColor="text1"/>
          <w:sz w:val="20"/>
          <w:szCs w:val="20"/>
        </w:rPr>
      </w:pPr>
      <w:r>
        <w:rPr>
          <w:color w:val="000000" w:themeColor="text1"/>
          <w:sz w:val="20"/>
          <w:szCs w:val="20"/>
        </w:rPr>
        <w:t>(...)</w:t>
      </w:r>
    </w:p>
    <w:p w14:paraId="645B772A" w14:textId="45FB1338" w:rsidR="001F5C38" w:rsidRDefault="001F5C38" w:rsidP="001F5C38">
      <w:pPr>
        <w:pStyle w:val="p1"/>
        <w:snapToGrid w:val="0"/>
        <w:spacing w:after="120"/>
        <w:jc w:val="both"/>
        <w:rPr>
          <w:color w:val="000000" w:themeColor="text1"/>
          <w:sz w:val="20"/>
          <w:szCs w:val="20"/>
        </w:rPr>
      </w:pPr>
      <w:r w:rsidRPr="001F5C38">
        <w:rPr>
          <w:color w:val="000000" w:themeColor="text1"/>
          <w:sz w:val="20"/>
          <w:szCs w:val="20"/>
        </w:rPr>
        <w:t>Achado 3 - O desenvolvimento de projetos de intervenções viárias possui</w:t>
      </w:r>
      <w:r w:rsidRPr="001F5C38">
        <w:rPr>
          <w:color w:val="000000" w:themeColor="text1"/>
          <w:sz w:val="20"/>
          <w:szCs w:val="20"/>
        </w:rPr>
        <w:t xml:space="preserve"> </w:t>
      </w:r>
      <w:r w:rsidRPr="001F5C38">
        <w:rPr>
          <w:color w:val="000000" w:themeColor="text1"/>
          <w:sz w:val="20"/>
          <w:szCs w:val="20"/>
        </w:rPr>
        <w:t>espaço para aprimoramentos quanto a medidas de priorização de modos ativos.</w:t>
      </w:r>
    </w:p>
    <w:p w14:paraId="2A70AD5D" w14:textId="0AD72280" w:rsidR="001F5C38" w:rsidRDefault="001F5C38" w:rsidP="001F5C38">
      <w:pPr>
        <w:pStyle w:val="p1"/>
        <w:snapToGrid w:val="0"/>
        <w:spacing w:after="120"/>
        <w:jc w:val="both"/>
        <w:rPr>
          <w:color w:val="000000" w:themeColor="text1"/>
          <w:sz w:val="20"/>
          <w:szCs w:val="20"/>
        </w:rPr>
      </w:pPr>
      <w:r>
        <w:rPr>
          <w:color w:val="000000" w:themeColor="text1"/>
          <w:sz w:val="20"/>
          <w:szCs w:val="20"/>
        </w:rPr>
        <w:t>(...)</w:t>
      </w:r>
    </w:p>
    <w:p w14:paraId="67530A6E" w14:textId="479B0EA5" w:rsidR="001F5C38" w:rsidRDefault="001F5C38" w:rsidP="001F5C38">
      <w:pPr>
        <w:pStyle w:val="p1"/>
        <w:snapToGrid w:val="0"/>
        <w:spacing w:after="120"/>
        <w:jc w:val="both"/>
        <w:rPr>
          <w:color w:val="000000" w:themeColor="text1"/>
          <w:sz w:val="20"/>
          <w:szCs w:val="20"/>
        </w:rPr>
      </w:pPr>
      <w:r w:rsidRPr="001F5C38">
        <w:rPr>
          <w:color w:val="000000" w:themeColor="text1"/>
          <w:sz w:val="20"/>
          <w:szCs w:val="20"/>
        </w:rPr>
        <w:t>Achado 4 - O Município não instituiu processos de monitoramento do</w:t>
      </w:r>
      <w:r w:rsidRPr="001F5C38">
        <w:rPr>
          <w:color w:val="000000" w:themeColor="text1"/>
          <w:sz w:val="20"/>
          <w:szCs w:val="20"/>
        </w:rPr>
        <w:t xml:space="preserve"> </w:t>
      </w:r>
      <w:proofErr w:type="spellStart"/>
      <w:r w:rsidRPr="001F5C38">
        <w:rPr>
          <w:color w:val="000000" w:themeColor="text1"/>
          <w:sz w:val="20"/>
          <w:szCs w:val="20"/>
        </w:rPr>
        <w:t>PlanMob</w:t>
      </w:r>
      <w:proofErr w:type="spellEnd"/>
      <w:r w:rsidRPr="001F5C38">
        <w:rPr>
          <w:color w:val="000000" w:themeColor="text1"/>
          <w:sz w:val="20"/>
          <w:szCs w:val="20"/>
        </w:rPr>
        <w:t xml:space="preserve"> e de avaliação da política de mobilidade baseados em dados.</w:t>
      </w:r>
    </w:p>
    <w:p w14:paraId="13FD08AA" w14:textId="6B1D7F5A" w:rsidR="001F5C38" w:rsidRDefault="001F5C38" w:rsidP="001F5C38">
      <w:pPr>
        <w:pStyle w:val="p1"/>
        <w:snapToGrid w:val="0"/>
        <w:spacing w:after="120"/>
        <w:jc w:val="both"/>
        <w:rPr>
          <w:color w:val="000000" w:themeColor="text1"/>
          <w:sz w:val="20"/>
          <w:szCs w:val="20"/>
        </w:rPr>
      </w:pPr>
      <w:r>
        <w:rPr>
          <w:color w:val="000000" w:themeColor="text1"/>
          <w:sz w:val="20"/>
          <w:szCs w:val="20"/>
        </w:rPr>
        <w:t>(...)</w:t>
      </w:r>
    </w:p>
    <w:p w14:paraId="03FC160E" w14:textId="1E41CBF7" w:rsidR="001F5C38" w:rsidRDefault="001F5C38" w:rsidP="001F5C38">
      <w:pPr>
        <w:pStyle w:val="p1"/>
        <w:snapToGrid w:val="0"/>
        <w:spacing w:after="120"/>
        <w:jc w:val="both"/>
        <w:rPr>
          <w:color w:val="000000" w:themeColor="text1"/>
          <w:sz w:val="20"/>
          <w:szCs w:val="20"/>
        </w:rPr>
      </w:pPr>
      <w:r w:rsidRPr="001F5C38">
        <w:rPr>
          <w:color w:val="000000" w:themeColor="text1"/>
          <w:sz w:val="20"/>
          <w:szCs w:val="20"/>
        </w:rPr>
        <w:t>Achado 6 - A política de estacionamento rotativo não promove a gestão da</w:t>
      </w:r>
      <w:r>
        <w:rPr>
          <w:color w:val="000000" w:themeColor="text1"/>
          <w:sz w:val="20"/>
          <w:szCs w:val="20"/>
        </w:rPr>
        <w:t xml:space="preserve"> </w:t>
      </w:r>
      <w:r w:rsidRPr="001F5C38">
        <w:rPr>
          <w:color w:val="000000" w:themeColor="text1"/>
          <w:sz w:val="20"/>
          <w:szCs w:val="20"/>
        </w:rPr>
        <w:t>demanda do modo individual motorizado e o subsídio aos modais prioritários.</w:t>
      </w:r>
    </w:p>
    <w:p w14:paraId="2B422DF9" w14:textId="5A0C6047" w:rsidR="001F5C38" w:rsidRDefault="001F5C38" w:rsidP="001F5C38">
      <w:pPr>
        <w:pStyle w:val="p1"/>
        <w:snapToGrid w:val="0"/>
        <w:spacing w:after="120"/>
        <w:jc w:val="both"/>
        <w:rPr>
          <w:color w:val="000000" w:themeColor="text1"/>
          <w:sz w:val="20"/>
          <w:szCs w:val="20"/>
        </w:rPr>
      </w:pPr>
      <w:r>
        <w:rPr>
          <w:color w:val="000000" w:themeColor="text1"/>
          <w:sz w:val="20"/>
          <w:szCs w:val="20"/>
        </w:rPr>
        <w:t>(...)</w:t>
      </w:r>
    </w:p>
    <w:p w14:paraId="0EC2BFB0" w14:textId="77777777" w:rsidR="00493928" w:rsidRDefault="001F5C38" w:rsidP="001F5C38">
      <w:pPr>
        <w:pStyle w:val="p1"/>
        <w:snapToGrid w:val="0"/>
        <w:spacing w:after="120"/>
        <w:jc w:val="both"/>
        <w:rPr>
          <w:color w:val="000000" w:themeColor="text1"/>
          <w:sz w:val="20"/>
          <w:szCs w:val="20"/>
        </w:rPr>
      </w:pPr>
      <w:r w:rsidRPr="001F5C38">
        <w:rPr>
          <w:color w:val="000000" w:themeColor="text1"/>
          <w:sz w:val="20"/>
          <w:szCs w:val="20"/>
        </w:rPr>
        <w:t>Achado 7 - O município não possui uma política de verificação da adequada</w:t>
      </w:r>
      <w:r w:rsidRPr="001F5C38">
        <w:rPr>
          <w:color w:val="000000" w:themeColor="text1"/>
          <w:sz w:val="20"/>
          <w:szCs w:val="20"/>
        </w:rPr>
        <w:t xml:space="preserve"> </w:t>
      </w:r>
      <w:r w:rsidRPr="001F5C38">
        <w:rPr>
          <w:color w:val="000000" w:themeColor="text1"/>
          <w:sz w:val="20"/>
          <w:szCs w:val="20"/>
        </w:rPr>
        <w:t>manutenção e conservação das calçadas de acordo com as normas de acessibilidade e</w:t>
      </w:r>
      <w:r w:rsidRPr="001F5C38">
        <w:rPr>
          <w:color w:val="000000" w:themeColor="text1"/>
          <w:sz w:val="20"/>
          <w:szCs w:val="20"/>
        </w:rPr>
        <w:t xml:space="preserve"> </w:t>
      </w:r>
      <w:r w:rsidRPr="001F5C38">
        <w:rPr>
          <w:color w:val="000000" w:themeColor="text1"/>
          <w:sz w:val="20"/>
          <w:szCs w:val="20"/>
        </w:rPr>
        <w:t>padrões municipais.</w:t>
      </w:r>
    </w:p>
    <w:p w14:paraId="454BEB4B" w14:textId="77777777" w:rsidR="00493928" w:rsidRDefault="00493928" w:rsidP="001F5C38">
      <w:pPr>
        <w:pStyle w:val="p1"/>
        <w:snapToGrid w:val="0"/>
        <w:spacing w:after="120"/>
        <w:jc w:val="both"/>
        <w:rPr>
          <w:color w:val="000000" w:themeColor="text1"/>
          <w:sz w:val="20"/>
          <w:szCs w:val="20"/>
        </w:rPr>
      </w:pPr>
      <w:r>
        <w:rPr>
          <w:color w:val="000000" w:themeColor="text1"/>
          <w:sz w:val="20"/>
          <w:szCs w:val="20"/>
        </w:rPr>
        <w:t>(...)</w:t>
      </w:r>
    </w:p>
    <w:p w14:paraId="7F7EF890" w14:textId="0B285C8C" w:rsidR="001F5C38" w:rsidRPr="001F5C38" w:rsidRDefault="00493928" w:rsidP="00493928">
      <w:pPr>
        <w:pStyle w:val="p1"/>
        <w:snapToGrid w:val="0"/>
        <w:spacing w:after="120"/>
        <w:jc w:val="both"/>
        <w:rPr>
          <w:color w:val="000000" w:themeColor="text1"/>
          <w:sz w:val="20"/>
          <w:szCs w:val="20"/>
        </w:rPr>
      </w:pPr>
      <w:r w:rsidRPr="00493928">
        <w:rPr>
          <w:color w:val="000000" w:themeColor="text1"/>
          <w:sz w:val="20"/>
          <w:szCs w:val="20"/>
        </w:rPr>
        <w:t>Consoante se infere dos achados e recomendações acima</w:t>
      </w:r>
      <w:r>
        <w:rPr>
          <w:color w:val="000000" w:themeColor="text1"/>
          <w:sz w:val="20"/>
          <w:szCs w:val="20"/>
        </w:rPr>
        <w:t xml:space="preserve"> </w:t>
      </w:r>
      <w:r w:rsidRPr="00493928">
        <w:rPr>
          <w:color w:val="000000" w:themeColor="text1"/>
          <w:sz w:val="20"/>
          <w:szCs w:val="20"/>
        </w:rPr>
        <w:t>transcritos, a Coordenadoria de Auditorias apontou, de uma forma geral, que o</w:t>
      </w:r>
      <w:r>
        <w:rPr>
          <w:color w:val="000000" w:themeColor="text1"/>
          <w:sz w:val="20"/>
          <w:szCs w:val="20"/>
        </w:rPr>
        <w:t xml:space="preserve"> </w:t>
      </w:r>
      <w:r w:rsidRPr="00493928">
        <w:rPr>
          <w:color w:val="000000" w:themeColor="text1"/>
          <w:sz w:val="20"/>
          <w:szCs w:val="20"/>
        </w:rPr>
        <w:t>Município de Maringá poderia aperfeiçoar o planejamento e gestão da política</w:t>
      </w:r>
      <w:r>
        <w:rPr>
          <w:color w:val="000000" w:themeColor="text1"/>
          <w:sz w:val="20"/>
          <w:szCs w:val="20"/>
        </w:rPr>
        <w:t xml:space="preserve"> </w:t>
      </w:r>
      <w:r w:rsidRPr="00493928">
        <w:rPr>
          <w:color w:val="000000" w:themeColor="text1"/>
          <w:sz w:val="20"/>
          <w:szCs w:val="20"/>
        </w:rPr>
        <w:t>pública de mobilidade urbana.</w:t>
      </w:r>
      <w:r w:rsidR="001F5C38">
        <w:rPr>
          <w:color w:val="000000" w:themeColor="text1"/>
          <w:sz w:val="20"/>
          <w:szCs w:val="20"/>
        </w:rPr>
        <w:t>”</w:t>
      </w:r>
    </w:p>
    <w:p w14:paraId="1F7D03E0" w14:textId="77E4F99B" w:rsidR="001F5C38" w:rsidRPr="00FA1C68" w:rsidRDefault="001F5C38" w:rsidP="000B5698">
      <w:pPr>
        <w:pStyle w:val="p1"/>
        <w:spacing w:after="120"/>
        <w:jc w:val="both"/>
        <w:rPr>
          <w:color w:val="000000" w:themeColor="text1"/>
          <w:sz w:val="20"/>
          <w:szCs w:val="20"/>
        </w:rPr>
      </w:pPr>
      <w:r w:rsidRPr="001F5C38">
        <w:rPr>
          <w:color w:val="000000" w:themeColor="text1"/>
          <w:sz w:val="20"/>
          <w:szCs w:val="20"/>
        </w:rPr>
        <w:lastRenderedPageBreak/>
        <w:t xml:space="preserve">(HOMOLOGAÇÃO DE RECOMENDAÇÕES n.º 732400/2025, </w:t>
      </w:r>
      <w:hyperlink r:id="rId20" w:history="1">
        <w:r w:rsidRPr="001F5C38">
          <w:rPr>
            <w:rStyle w:val="Hyperlink"/>
            <w:sz w:val="20"/>
            <w:szCs w:val="20"/>
          </w:rPr>
          <w:t>Acó</w:t>
        </w:r>
        <w:r w:rsidRPr="001F5C38">
          <w:rPr>
            <w:rStyle w:val="Hyperlink"/>
            <w:sz w:val="20"/>
            <w:szCs w:val="20"/>
          </w:rPr>
          <w:t>r</w:t>
        </w:r>
        <w:r w:rsidRPr="001F5C38">
          <w:rPr>
            <w:rStyle w:val="Hyperlink"/>
            <w:sz w:val="20"/>
            <w:szCs w:val="20"/>
          </w:rPr>
          <w:t>dão n.º 3421/2025</w:t>
        </w:r>
      </w:hyperlink>
      <w:r w:rsidRPr="001F5C38">
        <w:rPr>
          <w:color w:val="000000" w:themeColor="text1"/>
          <w:sz w:val="20"/>
          <w:szCs w:val="20"/>
        </w:rPr>
        <w:t>, Tribunal Pleno, Rel. IVENS ZSCHOERPER LINHARES, julgado em 08/12/2025, veiculado em 18/12/2025 no DETC)</w:t>
      </w:r>
    </w:p>
    <w:p w14:paraId="089A8C81" w14:textId="66DCCB9D" w:rsidR="007306F8" w:rsidRPr="00AE6E3A" w:rsidRDefault="00BF1916" w:rsidP="00AE6E3A">
      <w:pPr>
        <w:pStyle w:val="Ttulo1"/>
        <w:spacing w:before="120" w:after="120"/>
        <w:ind w:right="-1"/>
        <w:rPr>
          <w:b w:val="0"/>
          <w:bCs w:val="0"/>
          <w:lang w:val="pt-BR"/>
        </w:rPr>
      </w:pPr>
      <w:bookmarkStart w:id="27" w:name="_Toc194933808"/>
      <w:bookmarkStart w:id="28" w:name="_Toc204254476"/>
      <w:bookmarkStart w:id="29" w:name="_Toc209717235"/>
      <w:bookmarkStart w:id="30" w:name="_Toc216424098"/>
      <w:bookmarkStart w:id="31" w:name="_Toc220001009"/>
      <w:bookmarkStart w:id="32" w:name="_Toc224068184"/>
      <w:bookmarkEnd w:id="2"/>
      <w:r w:rsidRPr="00327A13">
        <w:rPr>
          <w:noProof/>
        </w:rPr>
        <w:drawing>
          <wp:anchor distT="0" distB="0" distL="114300" distR="114300" simplePos="0" relativeHeight="251667968" behindDoc="0" locked="0" layoutInCell="1" allowOverlap="1" wp14:anchorId="46E521C6" wp14:editId="5F4D90EE">
            <wp:simplePos x="0" y="0"/>
            <wp:positionH relativeFrom="column">
              <wp:posOffset>3444240</wp:posOffset>
            </wp:positionH>
            <wp:positionV relativeFrom="paragraph">
              <wp:posOffset>196850</wp:posOffset>
            </wp:positionV>
            <wp:extent cx="514350" cy="528320"/>
            <wp:effectExtent l="0" t="0" r="0" b="5080"/>
            <wp:wrapSquare wrapText="bothSides"/>
            <wp:docPr id="1849409394" name="Imagem 6"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09394" name="Imagem 6" descr="Ícone&#10;&#10;Descrição gerada automaticament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14350" cy="528320"/>
                    </a:xfrm>
                    <a:prstGeom prst="rect">
                      <a:avLst/>
                    </a:prstGeom>
                  </pic:spPr>
                </pic:pic>
              </a:graphicData>
            </a:graphic>
            <wp14:sizeRelH relativeFrom="margin">
              <wp14:pctWidth>0</wp14:pctWidth>
            </wp14:sizeRelH>
            <wp14:sizeRelV relativeFrom="margin">
              <wp14:pctHeight>0</wp14:pctHeight>
            </wp14:sizeRelV>
          </wp:anchor>
        </w:drawing>
      </w:r>
      <w:bookmarkEnd w:id="27"/>
      <w:bookmarkEnd w:id="28"/>
      <w:bookmarkEnd w:id="29"/>
      <w:bookmarkEnd w:id="30"/>
      <w:bookmarkEnd w:id="31"/>
      <w:bookmarkEnd w:id="32"/>
    </w:p>
    <w:p w14:paraId="2C0CD581" w14:textId="77777777" w:rsidR="00674104" w:rsidRDefault="007306F8">
      <w:pPr>
        <w:pStyle w:val="TCU-Epgrafe"/>
        <w:spacing w:line="276" w:lineRule="auto"/>
        <w:ind w:left="0"/>
        <w:rPr>
          <w:rFonts w:ascii="Arial" w:hAnsi="Arial" w:cs="Arial"/>
          <w:sz w:val="20"/>
        </w:rPr>
      </w:pPr>
      <w:r>
        <w:rPr>
          <w:noProof/>
        </w:rPr>
        <mc:AlternateContent>
          <mc:Choice Requires="wps">
            <w:drawing>
              <wp:anchor distT="0" distB="0" distL="114300" distR="114300" simplePos="0" relativeHeight="251666944" behindDoc="0" locked="0" layoutInCell="1" allowOverlap="1" wp14:anchorId="3DBDD8CC" wp14:editId="3732D7E3">
                <wp:simplePos x="0" y="0"/>
                <wp:positionH relativeFrom="column">
                  <wp:posOffset>1129665</wp:posOffset>
                </wp:positionH>
                <wp:positionV relativeFrom="paragraph">
                  <wp:posOffset>143510</wp:posOffset>
                </wp:positionV>
                <wp:extent cx="3305175" cy="2103120"/>
                <wp:effectExtent l="0" t="0" r="9525" b="0"/>
                <wp:wrapSquare wrapText="bothSides"/>
                <wp:docPr id="524316888" name="Retângulo: Cantos Diagonais Arredondados 5"/>
                <wp:cNvGraphicFramePr/>
                <a:graphic xmlns:a="http://schemas.openxmlformats.org/drawingml/2006/main">
                  <a:graphicData uri="http://schemas.microsoft.com/office/word/2010/wordprocessingShape">
                    <wps:wsp>
                      <wps:cNvSpPr/>
                      <wps:spPr>
                        <a:xfrm>
                          <a:off x="0" y="0"/>
                          <a:ext cx="3305175" cy="2103120"/>
                        </a:xfrm>
                        <a:prstGeom prst="round2DiagRect">
                          <a:avLst/>
                        </a:prstGeom>
                        <a:solidFill>
                          <a:srgbClr val="5E9F4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F6627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2" w:tooltip="http://www1.tce.pr.gov.br/conteudo/pesquisas-prontas/308475/area/249" w:history="1">
                              <w:r w:rsidRPr="007306F8">
                                <w:rPr>
                                  <w:rStyle w:val="Hyperlink"/>
                                  <w:color w:val="FFFFFF" w:themeColor="background1"/>
                                  <w:sz w:val="20"/>
                                  <w:szCs w:val="20"/>
                                </w:rPr>
                                <w:t>Pesquisas Prontas</w:t>
                              </w:r>
                            </w:hyperlink>
                          </w:p>
                          <w:p w14:paraId="4C2B3423" w14:textId="77777777" w:rsidR="007306F8" w:rsidRPr="007306F8" w:rsidRDefault="007306F8" w:rsidP="007306F8">
                            <w:pPr>
                              <w:pStyle w:val="Default"/>
                              <w:spacing w:line="276" w:lineRule="auto"/>
                              <w:rPr>
                                <w:rStyle w:val="Hyperlink"/>
                                <w:color w:val="FFFFFF" w:themeColor="background1"/>
                                <w:sz w:val="20"/>
                                <w:szCs w:val="20"/>
                              </w:rPr>
                            </w:pPr>
                          </w:p>
                          <w:p w14:paraId="307BF594"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3" w:tooltip="http://www1.tce.pr.gov.br/conteudo/boletim-informativo-de-jurisprudencia/280400/area/249" w:history="1">
                              <w:r w:rsidRPr="007306F8">
                                <w:rPr>
                                  <w:rStyle w:val="Hyperlink"/>
                                  <w:color w:val="FFFFFF" w:themeColor="background1"/>
                                  <w:sz w:val="20"/>
                                  <w:szCs w:val="20"/>
                                </w:rPr>
                                <w:t>Boletim Informativo de Jurisprudência</w:t>
                              </w:r>
                            </w:hyperlink>
                          </w:p>
                          <w:p w14:paraId="1E88F547" w14:textId="77777777" w:rsidR="007306F8" w:rsidRPr="007306F8" w:rsidRDefault="007306F8" w:rsidP="007306F8">
                            <w:pPr>
                              <w:pStyle w:val="Default"/>
                              <w:spacing w:line="276" w:lineRule="auto"/>
                              <w:rPr>
                                <w:rStyle w:val="Hyperlink"/>
                                <w:color w:val="FFFFFF" w:themeColor="background1"/>
                                <w:sz w:val="20"/>
                                <w:szCs w:val="20"/>
                              </w:rPr>
                            </w:pPr>
                          </w:p>
                          <w:p w14:paraId="0736555A" w14:textId="77777777" w:rsidR="007306F8" w:rsidRPr="007306F8" w:rsidRDefault="007306F8" w:rsidP="007306F8">
                            <w:pPr>
                              <w:pStyle w:val="Default"/>
                              <w:numPr>
                                <w:ilvl w:val="0"/>
                                <w:numId w:val="3"/>
                              </w:numPr>
                              <w:spacing w:line="276" w:lineRule="auto"/>
                              <w:rPr>
                                <w:color w:val="FFFFFF" w:themeColor="background1"/>
                                <w:sz w:val="20"/>
                                <w:szCs w:val="20"/>
                              </w:rPr>
                            </w:pPr>
                            <w:hyperlink r:id="rId24" w:tooltip="http://www1.tce.pr.gov.br/conteudo/boletim-de-jurisprudencia-internacional/316601/area/249" w:history="1">
                              <w:proofErr w:type="spellStart"/>
                              <w:r w:rsidRPr="007306F8">
                                <w:rPr>
                                  <w:rStyle w:val="Hyperlink"/>
                                  <w:color w:val="FFFFFF" w:themeColor="background1"/>
                                  <w:sz w:val="20"/>
                                  <w:szCs w:val="20"/>
                                </w:rPr>
                                <w:t>Interjuris</w:t>
                              </w:r>
                              <w:proofErr w:type="spellEnd"/>
                            </w:hyperlink>
                          </w:p>
                          <w:p w14:paraId="4A7505C8" w14:textId="77777777" w:rsidR="007306F8" w:rsidRPr="007306F8" w:rsidRDefault="007306F8" w:rsidP="007306F8">
                            <w:pPr>
                              <w:pStyle w:val="Default"/>
                              <w:spacing w:line="276" w:lineRule="auto"/>
                              <w:rPr>
                                <w:color w:val="FFFFFF" w:themeColor="background1"/>
                                <w:sz w:val="20"/>
                                <w:szCs w:val="20"/>
                              </w:rPr>
                            </w:pPr>
                          </w:p>
                          <w:p w14:paraId="066BAA5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5" w:tooltip="http://www1.tce.pr.gov.br/conteudo/repercussao-geral-no-stf-e-os-tribunais-de-contas/307026/area/249" w:history="1">
                              <w:r w:rsidRPr="007306F8">
                                <w:rPr>
                                  <w:rStyle w:val="Hyperlink"/>
                                  <w:color w:val="FFFFFF" w:themeColor="background1"/>
                                  <w:sz w:val="20"/>
                                  <w:szCs w:val="20"/>
                                </w:rPr>
                                <w:t>Repercussão Geral do Supremo Tribunal Federal - STF e os Tribunais de Contas</w:t>
                              </w:r>
                            </w:hyperlink>
                          </w:p>
                          <w:p w14:paraId="6B71A50A" w14:textId="77777777" w:rsidR="007306F8" w:rsidRPr="007306F8" w:rsidRDefault="007306F8" w:rsidP="007306F8">
                            <w:pPr>
                              <w:pStyle w:val="Default"/>
                              <w:spacing w:line="276" w:lineRule="auto"/>
                              <w:rPr>
                                <w:rStyle w:val="Hyperlink"/>
                                <w:color w:val="FFFFFF" w:themeColor="background1"/>
                                <w:sz w:val="20"/>
                                <w:szCs w:val="20"/>
                              </w:rPr>
                            </w:pPr>
                          </w:p>
                          <w:p w14:paraId="01D552A5"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6" w:tooltip="http://www1.tce.pr.gov.br/conteudo/sumulas-selecionadas/316602/area/249" w:history="1">
                              <w:r w:rsidRPr="007306F8">
                                <w:rPr>
                                  <w:rStyle w:val="Hyperlink"/>
                                  <w:color w:val="FFFFFF" w:themeColor="background1"/>
                                  <w:sz w:val="20"/>
                                  <w:szCs w:val="20"/>
                                </w:rPr>
                                <w:t>Súmulas Selecionadas</w:t>
                              </w:r>
                            </w:hyperlink>
                          </w:p>
                          <w:p w14:paraId="6FD02788" w14:textId="77777777" w:rsidR="007306F8" w:rsidRPr="007306F8" w:rsidRDefault="007306F8" w:rsidP="007306F8">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BDD8CC" id="Retângulo: Cantos Diagonais Arredondados 5" o:spid="_x0000_s1028" style="position:absolute;left:0;text-align:left;margin-left:88.95pt;margin-top:11.3pt;width:260.25pt;height:16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05175,2103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" adj="-11796480,,5400" path="m350527,l3305175,r,l3305175,1752593v,193591,-156936,350527,-350527,350527l,2103120r,l,350527c,156936,156936,,350527,xe" fillcolor="#5e9f4f" stroked="f" strokeweight="2pt">
                <v:stroke joinstyle="miter"/>
                <v:formulas/>
                <v:path arrowok="t" o:connecttype="custom" o:connectlocs="350527,0;3305175,0;3305175,0;3305175,1752593;2954648,2103120;0,2103120;0,2103120;0,350527;350527,0" o:connectangles="0,0,0,0,0,0,0,0,0" textboxrect="0,0,3305175,2103120"/>
                <v:textbox>
                  <w:txbxContent>
                    <w:p w14:paraId="09F6627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7" w:tooltip="http://www1.tce.pr.gov.br/conteudo/pesquisas-prontas/308475/area/249" w:history="1">
                        <w:r w:rsidRPr="007306F8">
                          <w:rPr>
                            <w:rStyle w:val="Hyperlink"/>
                            <w:color w:val="FFFFFF" w:themeColor="background1"/>
                            <w:sz w:val="20"/>
                            <w:szCs w:val="20"/>
                          </w:rPr>
                          <w:t>Pesquisas Prontas</w:t>
                        </w:r>
                      </w:hyperlink>
                    </w:p>
                    <w:p w14:paraId="4C2B3423" w14:textId="77777777" w:rsidR="007306F8" w:rsidRPr="007306F8" w:rsidRDefault="007306F8" w:rsidP="007306F8">
                      <w:pPr>
                        <w:pStyle w:val="Default"/>
                        <w:spacing w:line="276" w:lineRule="auto"/>
                        <w:rPr>
                          <w:rStyle w:val="Hyperlink"/>
                          <w:color w:val="FFFFFF" w:themeColor="background1"/>
                          <w:sz w:val="20"/>
                          <w:szCs w:val="20"/>
                        </w:rPr>
                      </w:pPr>
                    </w:p>
                    <w:p w14:paraId="307BF594"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8" w:tooltip="http://www1.tce.pr.gov.br/conteudo/boletim-informativo-de-jurisprudencia/280400/area/249" w:history="1">
                        <w:r w:rsidRPr="007306F8">
                          <w:rPr>
                            <w:rStyle w:val="Hyperlink"/>
                            <w:color w:val="FFFFFF" w:themeColor="background1"/>
                            <w:sz w:val="20"/>
                            <w:szCs w:val="20"/>
                          </w:rPr>
                          <w:t>Boletim Informativo de Jurisprudência</w:t>
                        </w:r>
                      </w:hyperlink>
                    </w:p>
                    <w:p w14:paraId="1E88F547" w14:textId="77777777" w:rsidR="007306F8" w:rsidRPr="007306F8" w:rsidRDefault="007306F8" w:rsidP="007306F8">
                      <w:pPr>
                        <w:pStyle w:val="Default"/>
                        <w:spacing w:line="276" w:lineRule="auto"/>
                        <w:rPr>
                          <w:rStyle w:val="Hyperlink"/>
                          <w:color w:val="FFFFFF" w:themeColor="background1"/>
                          <w:sz w:val="20"/>
                          <w:szCs w:val="20"/>
                        </w:rPr>
                      </w:pPr>
                    </w:p>
                    <w:p w14:paraId="0736555A" w14:textId="77777777" w:rsidR="007306F8" w:rsidRPr="007306F8" w:rsidRDefault="007306F8" w:rsidP="007306F8">
                      <w:pPr>
                        <w:pStyle w:val="Default"/>
                        <w:numPr>
                          <w:ilvl w:val="0"/>
                          <w:numId w:val="3"/>
                        </w:numPr>
                        <w:spacing w:line="276" w:lineRule="auto"/>
                        <w:rPr>
                          <w:color w:val="FFFFFF" w:themeColor="background1"/>
                          <w:sz w:val="20"/>
                          <w:szCs w:val="20"/>
                        </w:rPr>
                      </w:pPr>
                      <w:hyperlink r:id="rId29" w:tooltip="http://www1.tce.pr.gov.br/conteudo/boletim-de-jurisprudencia-internacional/316601/area/249" w:history="1">
                        <w:proofErr w:type="spellStart"/>
                        <w:r w:rsidRPr="007306F8">
                          <w:rPr>
                            <w:rStyle w:val="Hyperlink"/>
                            <w:color w:val="FFFFFF" w:themeColor="background1"/>
                            <w:sz w:val="20"/>
                            <w:szCs w:val="20"/>
                          </w:rPr>
                          <w:t>Interjuris</w:t>
                        </w:r>
                        <w:proofErr w:type="spellEnd"/>
                      </w:hyperlink>
                    </w:p>
                    <w:p w14:paraId="4A7505C8" w14:textId="77777777" w:rsidR="007306F8" w:rsidRPr="007306F8" w:rsidRDefault="007306F8" w:rsidP="007306F8">
                      <w:pPr>
                        <w:pStyle w:val="Default"/>
                        <w:spacing w:line="276" w:lineRule="auto"/>
                        <w:rPr>
                          <w:color w:val="FFFFFF" w:themeColor="background1"/>
                          <w:sz w:val="20"/>
                          <w:szCs w:val="20"/>
                        </w:rPr>
                      </w:pPr>
                    </w:p>
                    <w:p w14:paraId="066BAA5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30" w:tooltip="http://www1.tce.pr.gov.br/conteudo/repercussao-geral-no-stf-e-os-tribunais-de-contas/307026/area/249" w:history="1">
                        <w:r w:rsidRPr="007306F8">
                          <w:rPr>
                            <w:rStyle w:val="Hyperlink"/>
                            <w:color w:val="FFFFFF" w:themeColor="background1"/>
                            <w:sz w:val="20"/>
                            <w:szCs w:val="20"/>
                          </w:rPr>
                          <w:t>Repercussão Geral do Supremo Tribunal Federal - STF e os Tribunais de Contas</w:t>
                        </w:r>
                      </w:hyperlink>
                    </w:p>
                    <w:p w14:paraId="6B71A50A" w14:textId="77777777" w:rsidR="007306F8" w:rsidRPr="007306F8" w:rsidRDefault="007306F8" w:rsidP="007306F8">
                      <w:pPr>
                        <w:pStyle w:val="Default"/>
                        <w:spacing w:line="276" w:lineRule="auto"/>
                        <w:rPr>
                          <w:rStyle w:val="Hyperlink"/>
                          <w:color w:val="FFFFFF" w:themeColor="background1"/>
                          <w:sz w:val="20"/>
                          <w:szCs w:val="20"/>
                        </w:rPr>
                      </w:pPr>
                    </w:p>
                    <w:p w14:paraId="01D552A5"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31" w:tooltip="http://www1.tce.pr.gov.br/conteudo/sumulas-selecionadas/316602/area/249" w:history="1">
                        <w:r w:rsidRPr="007306F8">
                          <w:rPr>
                            <w:rStyle w:val="Hyperlink"/>
                            <w:color w:val="FFFFFF" w:themeColor="background1"/>
                            <w:sz w:val="20"/>
                            <w:szCs w:val="20"/>
                          </w:rPr>
                          <w:t>Súmulas Selecionadas</w:t>
                        </w:r>
                      </w:hyperlink>
                    </w:p>
                    <w:p w14:paraId="6FD02788" w14:textId="77777777" w:rsidR="007306F8" w:rsidRPr="007306F8" w:rsidRDefault="007306F8" w:rsidP="007306F8">
                      <w:pPr>
                        <w:rPr>
                          <w:color w:val="FFFFFF" w:themeColor="background1"/>
                        </w:rPr>
                      </w:pPr>
                    </w:p>
                  </w:txbxContent>
                </v:textbox>
                <w10:wrap type="square"/>
              </v:shape>
            </w:pict>
          </mc:Fallback>
        </mc:AlternateContent>
      </w:r>
    </w:p>
    <w:p w14:paraId="036788E3" w14:textId="77777777" w:rsidR="00674104" w:rsidRDefault="00BF1916">
      <w:pPr>
        <w:jc w:val="center"/>
        <w:rPr>
          <w:rStyle w:val="Hyperlink"/>
          <w:rFonts w:ascii="Arial" w:hAnsi="Arial" w:cs="Arial"/>
          <w:i/>
          <w:color w:val="000000"/>
          <w:sz w:val="20"/>
          <w:szCs w:val="20"/>
          <w:u w:val="none"/>
        </w:rPr>
      </w:pPr>
      <w:r>
        <w:rPr>
          <w:noProof/>
        </w:rPr>
        <mc:AlternateContent>
          <mc:Choice Requires="wps">
            <w:drawing>
              <wp:anchor distT="0" distB="0" distL="114300" distR="114300" simplePos="0" relativeHeight="251659775" behindDoc="0" locked="0" layoutInCell="1" allowOverlap="1" wp14:anchorId="3490E7C6" wp14:editId="36185545">
                <wp:simplePos x="0" y="0"/>
                <wp:positionH relativeFrom="column">
                  <wp:posOffset>1263015</wp:posOffset>
                </wp:positionH>
                <wp:positionV relativeFrom="paragraph">
                  <wp:posOffset>112395</wp:posOffset>
                </wp:positionV>
                <wp:extent cx="3305175" cy="2103120"/>
                <wp:effectExtent l="0" t="0" r="9525" b="0"/>
                <wp:wrapSquare wrapText="bothSides"/>
                <wp:docPr id="1564090924" name="Retângulo: Cantos Diagonais Arredondados 5"/>
                <wp:cNvGraphicFramePr/>
                <a:graphic xmlns:a="http://schemas.openxmlformats.org/drawingml/2006/main">
                  <a:graphicData uri="http://schemas.microsoft.com/office/word/2010/wordprocessingShape">
                    <wps:wsp>
                      <wps:cNvSpPr/>
                      <wps:spPr>
                        <a:xfrm>
                          <a:off x="0" y="0"/>
                          <a:ext cx="3305175" cy="2103120"/>
                        </a:xfrm>
                        <a:prstGeom prst="round2DiagRect">
                          <a:avLst/>
                        </a:prstGeom>
                        <a:solidFill>
                          <a:srgbClr val="4B7A3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F7524" w14:textId="77777777" w:rsidR="00BF1916" w:rsidRPr="007306F8" w:rsidRDefault="00BF1916" w:rsidP="00BF1916">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90E7C6" id="_x0000_s1029" style="position:absolute;left:0;text-align:left;margin-left:99.45pt;margin-top:8.85pt;width:260.25pt;height:165.6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05175,2103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" adj="-11796480,,5400" path="m350527,l3305175,r,l3305175,1752593v,193591,-156936,350527,-350527,350527l,2103120r,l,350527c,156936,156936,,350527,xe" fillcolor="#4b7a38" stroked="f" strokeweight="2pt">
                <v:stroke joinstyle="miter"/>
                <v:formulas/>
                <v:path arrowok="t" o:connecttype="custom" o:connectlocs="350527,0;3305175,0;3305175,0;3305175,1752593;2954648,2103120;0,2103120;0,2103120;0,350527;350527,0" o:connectangles="0,0,0,0,0,0,0,0,0" textboxrect="0,0,3305175,2103120"/>
                <v:textbox>
                  <w:txbxContent>
                    <w:p w14:paraId="76BF7524" w14:textId="77777777" w:rsidR="00BF1916" w:rsidRPr="007306F8" w:rsidRDefault="00BF1916" w:rsidP="00BF1916">
                      <w:pPr>
                        <w:rPr>
                          <w:color w:val="FFFFFF" w:themeColor="background1"/>
                        </w:rPr>
                      </w:pPr>
                    </w:p>
                  </w:txbxContent>
                </v:textbox>
                <w10:wrap type="square"/>
              </v:shape>
            </w:pict>
          </mc:Fallback>
        </mc:AlternateContent>
      </w:r>
    </w:p>
    <w:p w14:paraId="35FB29D5" w14:textId="77777777" w:rsidR="007306F8" w:rsidRDefault="007306F8">
      <w:pPr>
        <w:jc w:val="center"/>
        <w:rPr>
          <w:rStyle w:val="Hyperlink"/>
          <w:rFonts w:ascii="Arial" w:hAnsi="Arial" w:cs="Arial"/>
          <w:i/>
          <w:color w:val="000000"/>
          <w:sz w:val="20"/>
          <w:szCs w:val="20"/>
          <w:u w:val="none"/>
        </w:rPr>
      </w:pPr>
    </w:p>
    <w:p w14:paraId="7F80A126" w14:textId="77777777" w:rsidR="007306F8" w:rsidRDefault="007306F8">
      <w:pPr>
        <w:jc w:val="center"/>
        <w:rPr>
          <w:rStyle w:val="Hyperlink"/>
          <w:rFonts w:ascii="Arial" w:hAnsi="Arial" w:cs="Arial"/>
          <w:i/>
          <w:color w:val="000000"/>
          <w:sz w:val="20"/>
          <w:szCs w:val="20"/>
          <w:u w:val="none"/>
        </w:rPr>
      </w:pPr>
    </w:p>
    <w:p w14:paraId="04B327AB" w14:textId="77777777" w:rsidR="007306F8" w:rsidRPr="00BF1916" w:rsidRDefault="007306F8">
      <w:pPr>
        <w:jc w:val="center"/>
        <w:rPr>
          <w:rStyle w:val="Hyperlink"/>
          <w:rFonts w:ascii="Arial" w:hAnsi="Arial" w:cs="Arial"/>
          <w:i/>
          <w:color w:val="000000" w:themeColor="text1"/>
          <w:sz w:val="20"/>
          <w:szCs w:val="20"/>
        </w:rPr>
      </w:pPr>
    </w:p>
    <w:p w14:paraId="68057E25" w14:textId="77777777" w:rsidR="007306F8" w:rsidRDefault="007306F8">
      <w:pPr>
        <w:jc w:val="center"/>
        <w:rPr>
          <w:rStyle w:val="Hyperlink"/>
          <w:rFonts w:ascii="Arial" w:hAnsi="Arial" w:cs="Arial"/>
          <w:i/>
          <w:color w:val="000000" w:themeColor="text1"/>
          <w:sz w:val="20"/>
          <w:szCs w:val="20"/>
          <w:u w:val="none"/>
        </w:rPr>
      </w:pPr>
    </w:p>
    <w:p w14:paraId="35C54608" w14:textId="77777777" w:rsidR="007306F8" w:rsidRDefault="007306F8">
      <w:pPr>
        <w:jc w:val="center"/>
        <w:rPr>
          <w:rStyle w:val="Hyperlink"/>
          <w:rFonts w:ascii="Arial" w:hAnsi="Arial" w:cs="Arial"/>
          <w:i/>
          <w:color w:val="000000" w:themeColor="text1"/>
          <w:sz w:val="20"/>
          <w:szCs w:val="20"/>
          <w:u w:val="none"/>
        </w:rPr>
      </w:pPr>
    </w:p>
    <w:p w14:paraId="6C1C6CA8" w14:textId="77777777" w:rsidR="007306F8" w:rsidRDefault="007306F8">
      <w:pPr>
        <w:jc w:val="center"/>
        <w:rPr>
          <w:rStyle w:val="Hyperlink"/>
          <w:rFonts w:ascii="Arial" w:hAnsi="Arial" w:cs="Arial"/>
          <w:i/>
          <w:color w:val="000000" w:themeColor="text1"/>
          <w:sz w:val="20"/>
          <w:szCs w:val="20"/>
          <w:u w:val="none"/>
        </w:rPr>
      </w:pPr>
    </w:p>
    <w:p w14:paraId="19815B60" w14:textId="77777777" w:rsidR="007306F8" w:rsidRDefault="007306F8">
      <w:pPr>
        <w:jc w:val="center"/>
        <w:rPr>
          <w:rStyle w:val="Hyperlink"/>
          <w:rFonts w:ascii="Arial" w:hAnsi="Arial" w:cs="Arial"/>
          <w:i/>
          <w:color w:val="000000" w:themeColor="text1"/>
          <w:sz w:val="20"/>
          <w:szCs w:val="20"/>
          <w:u w:val="none"/>
        </w:rPr>
      </w:pPr>
    </w:p>
    <w:p w14:paraId="129B2C8C" w14:textId="77777777" w:rsidR="007306F8" w:rsidRDefault="007306F8">
      <w:pPr>
        <w:jc w:val="center"/>
        <w:rPr>
          <w:rStyle w:val="Hyperlink"/>
          <w:rFonts w:ascii="Arial" w:hAnsi="Arial" w:cs="Arial"/>
          <w:i/>
          <w:color w:val="000000" w:themeColor="text1"/>
          <w:sz w:val="20"/>
          <w:szCs w:val="20"/>
          <w:u w:val="none"/>
        </w:rPr>
      </w:pPr>
    </w:p>
    <w:p w14:paraId="6608B2F3" w14:textId="77777777" w:rsidR="007306F8" w:rsidRDefault="007306F8">
      <w:pPr>
        <w:jc w:val="center"/>
        <w:rPr>
          <w:rStyle w:val="Hyperlink"/>
          <w:rFonts w:ascii="Arial" w:hAnsi="Arial" w:cs="Arial"/>
          <w:i/>
          <w:color w:val="000000" w:themeColor="text1"/>
          <w:sz w:val="20"/>
          <w:szCs w:val="20"/>
          <w:u w:val="none"/>
        </w:rPr>
      </w:pPr>
    </w:p>
    <w:p w14:paraId="76C6080A" w14:textId="77777777" w:rsidR="007306F8" w:rsidRDefault="007306F8">
      <w:pPr>
        <w:jc w:val="center"/>
        <w:rPr>
          <w:rStyle w:val="Hyperlink"/>
          <w:rFonts w:ascii="Arial" w:hAnsi="Arial" w:cs="Arial"/>
          <w:i/>
          <w:color w:val="000000" w:themeColor="text1"/>
          <w:sz w:val="20"/>
          <w:szCs w:val="20"/>
          <w:u w:val="none"/>
        </w:rPr>
      </w:pPr>
    </w:p>
    <w:p w14:paraId="262F59D3" w14:textId="77777777" w:rsidR="007306F8" w:rsidRDefault="007306F8">
      <w:pPr>
        <w:jc w:val="center"/>
        <w:rPr>
          <w:rStyle w:val="Hyperlink"/>
          <w:rFonts w:ascii="Arial" w:hAnsi="Arial" w:cs="Arial"/>
          <w:i/>
          <w:color w:val="000000" w:themeColor="text1"/>
          <w:sz w:val="20"/>
          <w:szCs w:val="20"/>
          <w:u w:val="none"/>
        </w:rPr>
      </w:pPr>
    </w:p>
    <w:p w14:paraId="0195C69A" w14:textId="77777777" w:rsidR="007306F8" w:rsidRDefault="007306F8">
      <w:pPr>
        <w:jc w:val="center"/>
        <w:rPr>
          <w:rStyle w:val="Hyperlink"/>
          <w:rFonts w:ascii="Arial" w:hAnsi="Arial" w:cs="Arial"/>
          <w:i/>
          <w:color w:val="000000" w:themeColor="text1"/>
          <w:sz w:val="20"/>
          <w:szCs w:val="20"/>
          <w:u w:val="none"/>
        </w:rPr>
      </w:pPr>
    </w:p>
    <w:p w14:paraId="69F0B857" w14:textId="77777777" w:rsidR="007306F8" w:rsidRDefault="007306F8">
      <w:pPr>
        <w:jc w:val="center"/>
        <w:rPr>
          <w:rStyle w:val="Hyperlink"/>
          <w:rFonts w:ascii="Arial" w:hAnsi="Arial" w:cs="Arial"/>
          <w:i/>
          <w:color w:val="000000" w:themeColor="text1"/>
          <w:sz w:val="20"/>
          <w:szCs w:val="20"/>
          <w:u w:val="none"/>
        </w:rPr>
      </w:pPr>
    </w:p>
    <w:p w14:paraId="52DCDCDD" w14:textId="77777777" w:rsidR="007306F8" w:rsidRDefault="007306F8">
      <w:pPr>
        <w:jc w:val="center"/>
        <w:rPr>
          <w:rStyle w:val="Hyperlink"/>
          <w:rFonts w:ascii="Arial" w:hAnsi="Arial" w:cs="Arial"/>
          <w:i/>
          <w:color w:val="000000" w:themeColor="text1"/>
          <w:sz w:val="20"/>
          <w:szCs w:val="20"/>
          <w:u w:val="none"/>
        </w:rPr>
      </w:pPr>
    </w:p>
    <w:p w14:paraId="7E11E7DE" w14:textId="77777777" w:rsidR="007306F8" w:rsidRDefault="007306F8">
      <w:pPr>
        <w:jc w:val="center"/>
        <w:rPr>
          <w:rStyle w:val="Hyperlink"/>
          <w:rFonts w:ascii="Arial" w:hAnsi="Arial" w:cs="Arial"/>
          <w:i/>
          <w:color w:val="000000" w:themeColor="text1"/>
          <w:sz w:val="20"/>
          <w:szCs w:val="20"/>
          <w:u w:val="none"/>
        </w:rPr>
      </w:pPr>
    </w:p>
    <w:p w14:paraId="0FF92AD5" w14:textId="77777777" w:rsidR="007306F8" w:rsidRDefault="007306F8" w:rsidP="00BF1916">
      <w:pPr>
        <w:rPr>
          <w:rStyle w:val="Hyperlink"/>
          <w:rFonts w:ascii="Arial" w:hAnsi="Arial" w:cs="Arial"/>
          <w:i/>
          <w:color w:val="000000" w:themeColor="text1"/>
          <w:sz w:val="20"/>
          <w:szCs w:val="20"/>
          <w:u w:val="none"/>
        </w:rPr>
      </w:pPr>
    </w:p>
    <w:p w14:paraId="64ECF888" w14:textId="613B6829" w:rsidR="00674104" w:rsidRDefault="007306F8">
      <w:pPr>
        <w:jc w:val="center"/>
        <w:rPr>
          <w:rFonts w:ascii="Arial" w:hAnsi="Arial" w:cs="Arial"/>
          <w:b/>
          <w:sz w:val="20"/>
          <w:szCs w:val="20"/>
        </w:rPr>
      </w:pPr>
      <w:r>
        <w:rPr>
          <w:noProof/>
        </w:rPr>
        <mc:AlternateContent>
          <mc:Choice Requires="wps">
            <w:drawing>
              <wp:inline distT="0" distB="0" distL="0" distR="0" wp14:anchorId="5E8C16B3" wp14:editId="3F4FBAAD">
                <wp:extent cx="5518150" cy="0"/>
                <wp:effectExtent l="0" t="0" r="25400" b="57150"/>
                <wp:docPr id="2354560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inline>
            </w:drawing>
          </mc:Choice>
          <mc:Fallback>
            <w:pict>
              <v:line w14:anchorId="1C2D6B48" id="Conector reto 1" o:spid="_x0000_s1026" style="visibility:visible;mso-wrap-style:square;mso-left-percent:-10001;mso-top-percent:-10001;mso-position-horizontal:absolute;mso-position-horizontal-relative:char;mso-position-vertical:absolute;mso-position-vertical-relative:line;mso-left-percent:-10001;mso-top-percent:-10001" from="0,0" to="43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" strokecolor="black [3200]" strokeweight="2pt">
                <v:shadow on="t" color="black" opacity="24903f" origin=",.5" offset="0,.55556mm"/>
                <o:lock v:ext="edit" shapetype="f"/>
                <w10:anchorlock/>
              </v:line>
            </w:pict>
          </mc:Fallback>
        </mc:AlternateContent>
      </w:r>
    </w:p>
    <w:sectPr w:rsidR="00674104" w:rsidSect="00AD4305">
      <w:headerReference w:type="default" r:id="rId32"/>
      <w:footerReference w:type="default" r:id="rId33"/>
      <w:pgSz w:w="11906" w:h="16838"/>
      <w:pgMar w:top="1325" w:right="1701" w:bottom="1560" w:left="1701" w:header="1276"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9B2E" w14:textId="77777777" w:rsidR="00EC52AD" w:rsidRDefault="00EC52AD">
      <w:r>
        <w:separator/>
      </w:r>
    </w:p>
  </w:endnote>
  <w:endnote w:type="continuationSeparator" w:id="0">
    <w:p w14:paraId="04E550BD" w14:textId="77777777" w:rsidR="00EC52AD" w:rsidRDefault="00EC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591265"/>
      <w:docPartObj>
        <w:docPartGallery w:val="Page Numbers (Bottom of Page)"/>
        <w:docPartUnique/>
      </w:docPartObj>
    </w:sdtPr>
    <w:sdtEndPr>
      <w:rPr>
        <w:b/>
        <w:bCs/>
        <w:color w:val="FFFFFF" w:themeColor="background1"/>
      </w:rPr>
    </w:sdtEndPr>
    <w:sdtContent>
      <w:p w14:paraId="4942B19F" w14:textId="77777777" w:rsidR="008F629F" w:rsidRDefault="008F629F">
        <w:pPr>
          <w:pStyle w:val="Rodap"/>
          <w:jc w:val="right"/>
        </w:pPr>
        <w:r w:rsidRPr="007306F8">
          <w:rPr>
            <w:rFonts w:asciiTheme="minorHAnsi" w:hAnsiTheme="minorHAnsi" w:cstheme="minorHAnsi"/>
            <w:noProof/>
            <w:sz w:val="22"/>
          </w:rPr>
          <w:drawing>
            <wp:anchor distT="0" distB="0" distL="114300" distR="114300" simplePos="0" relativeHeight="251658240" behindDoc="1" locked="0" layoutInCell="1" allowOverlap="1" wp14:anchorId="073C2EF8" wp14:editId="2FD8A7F2">
              <wp:simplePos x="0" y="0"/>
              <wp:positionH relativeFrom="page">
                <wp:align>left</wp:align>
              </wp:positionH>
              <wp:positionV relativeFrom="paragraph">
                <wp:posOffset>-304437</wp:posOffset>
              </wp:positionV>
              <wp:extent cx="7555356" cy="1076325"/>
              <wp:effectExtent l="0" t="0" r="7620" b="0"/>
              <wp:wrapNone/>
              <wp:docPr id="203888510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6622" name="Imagem 3"/>
                      <pic:cNvPicPr/>
                    </pic:nvPicPr>
                    <pic:blipFill>
                      <a:blip r:embed="rId1">
                        <a:extLst>
                          <a:ext uri="{28A0092B-C50C-407E-A947-70E740481C1C}">
                            <a14:useLocalDpi xmlns:a14="http://schemas.microsoft.com/office/drawing/2010/main" val="0"/>
                          </a:ext>
                        </a:extLst>
                      </a:blip>
                      <a:srcRect t="59" b="59"/>
                      <a:stretch>
                        <a:fillRect/>
                      </a:stretch>
                    </pic:blipFill>
                    <pic:spPr bwMode="auto">
                      <a:xfrm>
                        <a:off x="0" y="0"/>
                        <a:ext cx="7555356" cy="107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A50278" w14:textId="77777777" w:rsidR="007306F8" w:rsidRDefault="007306F8" w:rsidP="008F629F">
        <w:pPr>
          <w:pStyle w:val="Rodap"/>
          <w:jc w:val="center"/>
        </w:pPr>
      </w:p>
      <w:p w14:paraId="3B5C8A0A" w14:textId="77777777" w:rsidR="00C76BA8" w:rsidRPr="007306F8" w:rsidRDefault="00C76BA8">
        <w:pPr>
          <w:pStyle w:val="Rodap"/>
          <w:jc w:val="right"/>
          <w:rPr>
            <w:b/>
            <w:bCs/>
            <w:color w:val="FFFFFF" w:themeColor="background1"/>
          </w:rPr>
        </w:pPr>
        <w:r w:rsidRPr="007306F8">
          <w:rPr>
            <w:rFonts w:asciiTheme="minorHAnsi" w:hAnsiTheme="minorHAnsi" w:cstheme="minorHAnsi"/>
            <w:b/>
            <w:bCs/>
            <w:color w:val="FFFFFF" w:themeColor="background1"/>
            <w:sz w:val="22"/>
          </w:rPr>
          <w:fldChar w:fldCharType="begin"/>
        </w:r>
        <w:r w:rsidRPr="007306F8">
          <w:rPr>
            <w:rFonts w:asciiTheme="minorHAnsi" w:hAnsiTheme="minorHAnsi" w:cstheme="minorHAnsi"/>
            <w:b/>
            <w:bCs/>
            <w:color w:val="FFFFFF" w:themeColor="background1"/>
            <w:sz w:val="22"/>
          </w:rPr>
          <w:instrText>PAGE   \* MERGEFORMAT</w:instrText>
        </w:r>
        <w:r w:rsidRPr="007306F8">
          <w:rPr>
            <w:rFonts w:asciiTheme="minorHAnsi" w:hAnsiTheme="minorHAnsi" w:cstheme="minorHAnsi"/>
            <w:b/>
            <w:bCs/>
            <w:color w:val="FFFFFF" w:themeColor="background1"/>
            <w:sz w:val="22"/>
          </w:rPr>
          <w:fldChar w:fldCharType="separate"/>
        </w:r>
        <w:r w:rsidRPr="007306F8">
          <w:rPr>
            <w:rFonts w:asciiTheme="minorHAnsi" w:hAnsiTheme="minorHAnsi" w:cstheme="minorHAnsi"/>
            <w:b/>
            <w:bCs/>
            <w:color w:val="FFFFFF" w:themeColor="background1"/>
            <w:sz w:val="22"/>
          </w:rPr>
          <w:t>2</w:t>
        </w:r>
        <w:r w:rsidRPr="007306F8">
          <w:rPr>
            <w:rFonts w:asciiTheme="minorHAnsi" w:hAnsiTheme="minorHAnsi" w:cstheme="minorHAnsi"/>
            <w:b/>
            <w:bCs/>
            <w:color w:val="FFFFFF" w:themeColor="background1"/>
            <w:sz w:val="22"/>
          </w:rPr>
          <w:fldChar w:fldCharType="end"/>
        </w:r>
      </w:p>
    </w:sdtContent>
  </w:sdt>
  <w:p w14:paraId="6828704E" w14:textId="77777777" w:rsidR="00674104" w:rsidRDefault="00674104" w:rsidP="00C76BA8">
    <w:pPr>
      <w:tabs>
        <w:tab w:val="left" w:pos="5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1C05" w14:textId="77777777" w:rsidR="00EC52AD" w:rsidRDefault="00EC52AD">
      <w:r>
        <w:separator/>
      </w:r>
    </w:p>
  </w:footnote>
  <w:footnote w:type="continuationSeparator" w:id="0">
    <w:p w14:paraId="3F6ACEFC" w14:textId="77777777" w:rsidR="00EC52AD" w:rsidRDefault="00EC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2D6D" w14:textId="77777777" w:rsidR="00674104" w:rsidRDefault="00EB4D7E" w:rsidP="00EB4D7E">
    <w:pPr>
      <w:pStyle w:val="Cabealho"/>
      <w:spacing w:after="100" w:afterAutospacing="1"/>
      <w:rPr>
        <w:b/>
      </w:rPr>
    </w:pPr>
    <w:r>
      <w:rPr>
        <w:b/>
        <w:noProof/>
      </w:rPr>
      <w:drawing>
        <wp:anchor distT="0" distB="0" distL="114300" distR="114300" simplePos="0" relativeHeight="251659264" behindDoc="0" locked="0" layoutInCell="1" allowOverlap="1" wp14:anchorId="04BE7EC1" wp14:editId="2C0E35E3">
          <wp:simplePos x="0" y="0"/>
          <wp:positionH relativeFrom="page">
            <wp:align>left</wp:align>
          </wp:positionH>
          <wp:positionV relativeFrom="paragraph">
            <wp:posOffset>-811530</wp:posOffset>
          </wp:positionV>
          <wp:extent cx="7556500" cy="1077595"/>
          <wp:effectExtent l="0" t="0" r="6350" b="0"/>
          <wp:wrapSquare wrapText="bothSides"/>
          <wp:docPr id="155982286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0809" name="Imagem 4"/>
                  <pic:cNvPicPr/>
                </pic:nvPicPr>
                <pic:blipFill rotWithShape="1">
                  <a:blip r:embed="rId1">
                    <a:extLst>
                      <a:ext uri="{28A0092B-C50C-407E-A947-70E740481C1C}">
                        <a14:useLocalDpi xmlns:a14="http://schemas.microsoft.com/office/drawing/2010/main" val="0"/>
                      </a:ext>
                    </a:extLst>
                  </a:blip>
                  <a:srcRect l="-73" r="142"/>
                  <a:stretch/>
                </pic:blipFill>
                <pic:spPr bwMode="auto">
                  <a:xfrm>
                    <a:off x="0" y="0"/>
                    <a:ext cx="7556500"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35"/>
      <w:numFmt w:val="decimal"/>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976954"/>
    <w:multiLevelType w:val="hybridMultilevel"/>
    <w:tmpl w:val="F61296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A440C60"/>
    <w:multiLevelType w:val="hybridMultilevel"/>
    <w:tmpl w:val="C97046C6"/>
    <w:lvl w:ilvl="0" w:tplc="FFFFFFFF">
      <w:numFmt w:val="decimal"/>
      <w:lvlText w:val=""/>
      <w:lvlJc w:val="left"/>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EC47473"/>
    <w:multiLevelType w:val="multilevel"/>
    <w:tmpl w:val="5F940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6626897">
    <w:abstractNumId w:val="0"/>
  </w:num>
  <w:num w:numId="2" w16cid:durableId="1121461964">
    <w:abstractNumId w:val="3"/>
  </w:num>
  <w:num w:numId="3" w16cid:durableId="2079471926">
    <w:abstractNumId w:val="4"/>
  </w:num>
  <w:num w:numId="4" w16cid:durableId="599147347">
    <w:abstractNumId w:val="6"/>
  </w:num>
  <w:num w:numId="5" w16cid:durableId="425420122">
    <w:abstractNumId w:val="1"/>
  </w:num>
  <w:num w:numId="6" w16cid:durableId="103810808">
    <w:abstractNumId w:val="2"/>
  </w:num>
  <w:num w:numId="7" w16cid:durableId="212306790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04"/>
    <w:rsid w:val="000002DE"/>
    <w:rsid w:val="00003BD8"/>
    <w:rsid w:val="0001566B"/>
    <w:rsid w:val="00017EB9"/>
    <w:rsid w:val="000277AE"/>
    <w:rsid w:val="00040AC2"/>
    <w:rsid w:val="00040F23"/>
    <w:rsid w:val="00077C0D"/>
    <w:rsid w:val="000841A5"/>
    <w:rsid w:val="00084E2D"/>
    <w:rsid w:val="00086937"/>
    <w:rsid w:val="00086AA8"/>
    <w:rsid w:val="00090D4E"/>
    <w:rsid w:val="00092C9B"/>
    <w:rsid w:val="00092D5F"/>
    <w:rsid w:val="00096DEB"/>
    <w:rsid w:val="000A0C9E"/>
    <w:rsid w:val="000B5698"/>
    <w:rsid w:val="000B5C32"/>
    <w:rsid w:val="000C5445"/>
    <w:rsid w:val="000C54AC"/>
    <w:rsid w:val="000C7B30"/>
    <w:rsid w:val="000D593C"/>
    <w:rsid w:val="000D5E35"/>
    <w:rsid w:val="000E258E"/>
    <w:rsid w:val="000E5E23"/>
    <w:rsid w:val="00113C97"/>
    <w:rsid w:val="00123291"/>
    <w:rsid w:val="00123A71"/>
    <w:rsid w:val="00125D69"/>
    <w:rsid w:val="001331C5"/>
    <w:rsid w:val="0015344D"/>
    <w:rsid w:val="00183A15"/>
    <w:rsid w:val="001863B5"/>
    <w:rsid w:val="001C30DB"/>
    <w:rsid w:val="001D39F3"/>
    <w:rsid w:val="001D4B88"/>
    <w:rsid w:val="001F0576"/>
    <w:rsid w:val="001F5C38"/>
    <w:rsid w:val="001F6C94"/>
    <w:rsid w:val="002037CC"/>
    <w:rsid w:val="00207F2A"/>
    <w:rsid w:val="00227797"/>
    <w:rsid w:val="00233F67"/>
    <w:rsid w:val="00235406"/>
    <w:rsid w:val="00235BDA"/>
    <w:rsid w:val="00255FC7"/>
    <w:rsid w:val="0026078A"/>
    <w:rsid w:val="00265060"/>
    <w:rsid w:val="0027764F"/>
    <w:rsid w:val="00280B44"/>
    <w:rsid w:val="002A20EF"/>
    <w:rsid w:val="002A44EF"/>
    <w:rsid w:val="002B058E"/>
    <w:rsid w:val="002E5AE7"/>
    <w:rsid w:val="003009DD"/>
    <w:rsid w:val="00305652"/>
    <w:rsid w:val="00324281"/>
    <w:rsid w:val="0032515A"/>
    <w:rsid w:val="0032790A"/>
    <w:rsid w:val="0033733A"/>
    <w:rsid w:val="00343007"/>
    <w:rsid w:val="00345C46"/>
    <w:rsid w:val="00351F4B"/>
    <w:rsid w:val="003A4213"/>
    <w:rsid w:val="003A4ABD"/>
    <w:rsid w:val="003A6351"/>
    <w:rsid w:val="003B3146"/>
    <w:rsid w:val="003C2C91"/>
    <w:rsid w:val="003D1479"/>
    <w:rsid w:val="003E19DD"/>
    <w:rsid w:val="003F38C2"/>
    <w:rsid w:val="004101C9"/>
    <w:rsid w:val="00412BC4"/>
    <w:rsid w:val="004215CB"/>
    <w:rsid w:val="00422D96"/>
    <w:rsid w:val="004330D2"/>
    <w:rsid w:val="00433196"/>
    <w:rsid w:val="00440398"/>
    <w:rsid w:val="00442B1F"/>
    <w:rsid w:val="00446DB9"/>
    <w:rsid w:val="00460848"/>
    <w:rsid w:val="00470F92"/>
    <w:rsid w:val="0047425F"/>
    <w:rsid w:val="00476674"/>
    <w:rsid w:val="0048296C"/>
    <w:rsid w:val="0048468B"/>
    <w:rsid w:val="004928FA"/>
    <w:rsid w:val="00493928"/>
    <w:rsid w:val="0049598B"/>
    <w:rsid w:val="004A3C1B"/>
    <w:rsid w:val="004B01E8"/>
    <w:rsid w:val="004B4A4A"/>
    <w:rsid w:val="004C588B"/>
    <w:rsid w:val="004E74A0"/>
    <w:rsid w:val="004F08EC"/>
    <w:rsid w:val="005201DA"/>
    <w:rsid w:val="00537FB2"/>
    <w:rsid w:val="0055325F"/>
    <w:rsid w:val="005614D9"/>
    <w:rsid w:val="00572082"/>
    <w:rsid w:val="005778EE"/>
    <w:rsid w:val="0058637E"/>
    <w:rsid w:val="005B5D1B"/>
    <w:rsid w:val="005D1FEC"/>
    <w:rsid w:val="005D25A0"/>
    <w:rsid w:val="005D485C"/>
    <w:rsid w:val="005D558B"/>
    <w:rsid w:val="005F5622"/>
    <w:rsid w:val="006019E7"/>
    <w:rsid w:val="00606BD6"/>
    <w:rsid w:val="00617F68"/>
    <w:rsid w:val="00620DCD"/>
    <w:rsid w:val="00623BF7"/>
    <w:rsid w:val="00660E2F"/>
    <w:rsid w:val="00660EA4"/>
    <w:rsid w:val="006621F8"/>
    <w:rsid w:val="00665502"/>
    <w:rsid w:val="0067269E"/>
    <w:rsid w:val="006726BA"/>
    <w:rsid w:val="00674104"/>
    <w:rsid w:val="006813C5"/>
    <w:rsid w:val="006875A4"/>
    <w:rsid w:val="00691601"/>
    <w:rsid w:val="0069182B"/>
    <w:rsid w:val="00694B26"/>
    <w:rsid w:val="006A0305"/>
    <w:rsid w:val="006A03EE"/>
    <w:rsid w:val="006A5F26"/>
    <w:rsid w:val="006D38C9"/>
    <w:rsid w:val="006E6872"/>
    <w:rsid w:val="006F25DF"/>
    <w:rsid w:val="006F6B87"/>
    <w:rsid w:val="00701415"/>
    <w:rsid w:val="0071008F"/>
    <w:rsid w:val="007227EC"/>
    <w:rsid w:val="007306F8"/>
    <w:rsid w:val="00732D1C"/>
    <w:rsid w:val="0073382B"/>
    <w:rsid w:val="00733AAC"/>
    <w:rsid w:val="0073715D"/>
    <w:rsid w:val="00755B00"/>
    <w:rsid w:val="007614E5"/>
    <w:rsid w:val="00791161"/>
    <w:rsid w:val="00796A06"/>
    <w:rsid w:val="007A5AED"/>
    <w:rsid w:val="007B66F3"/>
    <w:rsid w:val="007D1CC9"/>
    <w:rsid w:val="007D3AEB"/>
    <w:rsid w:val="007F13A7"/>
    <w:rsid w:val="007F6796"/>
    <w:rsid w:val="0080472D"/>
    <w:rsid w:val="008323EB"/>
    <w:rsid w:val="00837058"/>
    <w:rsid w:val="008569F6"/>
    <w:rsid w:val="008710CF"/>
    <w:rsid w:val="0087141F"/>
    <w:rsid w:val="008734D3"/>
    <w:rsid w:val="008963EF"/>
    <w:rsid w:val="00897D46"/>
    <w:rsid w:val="008A36CA"/>
    <w:rsid w:val="008B09E9"/>
    <w:rsid w:val="008C294D"/>
    <w:rsid w:val="008C59C1"/>
    <w:rsid w:val="008F4807"/>
    <w:rsid w:val="008F629F"/>
    <w:rsid w:val="009009C0"/>
    <w:rsid w:val="009142DC"/>
    <w:rsid w:val="00915255"/>
    <w:rsid w:val="009157D7"/>
    <w:rsid w:val="009204AA"/>
    <w:rsid w:val="00924155"/>
    <w:rsid w:val="00926E1D"/>
    <w:rsid w:val="00935C7B"/>
    <w:rsid w:val="00937D53"/>
    <w:rsid w:val="00941546"/>
    <w:rsid w:val="00947029"/>
    <w:rsid w:val="00972DCA"/>
    <w:rsid w:val="009763CE"/>
    <w:rsid w:val="00982AB9"/>
    <w:rsid w:val="00993DD5"/>
    <w:rsid w:val="009A2890"/>
    <w:rsid w:val="009E6D0F"/>
    <w:rsid w:val="009E786A"/>
    <w:rsid w:val="009F144D"/>
    <w:rsid w:val="00A24390"/>
    <w:rsid w:val="00A50ED8"/>
    <w:rsid w:val="00A606CE"/>
    <w:rsid w:val="00A6594B"/>
    <w:rsid w:val="00A93B0F"/>
    <w:rsid w:val="00A97C75"/>
    <w:rsid w:val="00AA1554"/>
    <w:rsid w:val="00AA2BA9"/>
    <w:rsid w:val="00AB565C"/>
    <w:rsid w:val="00AB7ACA"/>
    <w:rsid w:val="00AC054B"/>
    <w:rsid w:val="00AD4305"/>
    <w:rsid w:val="00AD46A8"/>
    <w:rsid w:val="00AE2832"/>
    <w:rsid w:val="00AE6E3A"/>
    <w:rsid w:val="00AF7291"/>
    <w:rsid w:val="00AF7CAD"/>
    <w:rsid w:val="00B041C0"/>
    <w:rsid w:val="00B146F5"/>
    <w:rsid w:val="00B25F41"/>
    <w:rsid w:val="00B35D89"/>
    <w:rsid w:val="00B37EAC"/>
    <w:rsid w:val="00B43592"/>
    <w:rsid w:val="00B44DE8"/>
    <w:rsid w:val="00B7195E"/>
    <w:rsid w:val="00B726C4"/>
    <w:rsid w:val="00B87D0C"/>
    <w:rsid w:val="00B92612"/>
    <w:rsid w:val="00BA656E"/>
    <w:rsid w:val="00BB4B21"/>
    <w:rsid w:val="00BC3B12"/>
    <w:rsid w:val="00BC7A8E"/>
    <w:rsid w:val="00BD35FD"/>
    <w:rsid w:val="00BE45D7"/>
    <w:rsid w:val="00BF1916"/>
    <w:rsid w:val="00BF2436"/>
    <w:rsid w:val="00C1179E"/>
    <w:rsid w:val="00C324FA"/>
    <w:rsid w:val="00C37723"/>
    <w:rsid w:val="00C444D4"/>
    <w:rsid w:val="00C53AA5"/>
    <w:rsid w:val="00C668B4"/>
    <w:rsid w:val="00C756A7"/>
    <w:rsid w:val="00C76BA8"/>
    <w:rsid w:val="00C808FE"/>
    <w:rsid w:val="00C829CF"/>
    <w:rsid w:val="00C87AB1"/>
    <w:rsid w:val="00CA05A6"/>
    <w:rsid w:val="00CB6395"/>
    <w:rsid w:val="00CC1302"/>
    <w:rsid w:val="00CC45B7"/>
    <w:rsid w:val="00D04667"/>
    <w:rsid w:val="00D05A3E"/>
    <w:rsid w:val="00D06EA7"/>
    <w:rsid w:val="00D07359"/>
    <w:rsid w:val="00D1569C"/>
    <w:rsid w:val="00D178C5"/>
    <w:rsid w:val="00D2185E"/>
    <w:rsid w:val="00D36E9D"/>
    <w:rsid w:val="00D601EE"/>
    <w:rsid w:val="00D607C2"/>
    <w:rsid w:val="00D62C31"/>
    <w:rsid w:val="00D72696"/>
    <w:rsid w:val="00D82E3A"/>
    <w:rsid w:val="00D91C8A"/>
    <w:rsid w:val="00D9614E"/>
    <w:rsid w:val="00D96370"/>
    <w:rsid w:val="00DD36F7"/>
    <w:rsid w:val="00DE4CB1"/>
    <w:rsid w:val="00DF45F5"/>
    <w:rsid w:val="00DF57CD"/>
    <w:rsid w:val="00DF69BF"/>
    <w:rsid w:val="00E12B71"/>
    <w:rsid w:val="00E25666"/>
    <w:rsid w:val="00E26437"/>
    <w:rsid w:val="00E44324"/>
    <w:rsid w:val="00E67994"/>
    <w:rsid w:val="00E74E05"/>
    <w:rsid w:val="00E83CDE"/>
    <w:rsid w:val="00E87B46"/>
    <w:rsid w:val="00EA4601"/>
    <w:rsid w:val="00EB3D00"/>
    <w:rsid w:val="00EB4D7E"/>
    <w:rsid w:val="00EB7B78"/>
    <w:rsid w:val="00EC1747"/>
    <w:rsid w:val="00EC2C5C"/>
    <w:rsid w:val="00EC3339"/>
    <w:rsid w:val="00EC50AC"/>
    <w:rsid w:val="00EC52AD"/>
    <w:rsid w:val="00EC59B7"/>
    <w:rsid w:val="00ED5B47"/>
    <w:rsid w:val="00EE1B3B"/>
    <w:rsid w:val="00EE738C"/>
    <w:rsid w:val="00EF4E7E"/>
    <w:rsid w:val="00F00910"/>
    <w:rsid w:val="00F062CB"/>
    <w:rsid w:val="00F1578C"/>
    <w:rsid w:val="00F17473"/>
    <w:rsid w:val="00F2323C"/>
    <w:rsid w:val="00F26447"/>
    <w:rsid w:val="00F332E4"/>
    <w:rsid w:val="00F36F7E"/>
    <w:rsid w:val="00F51993"/>
    <w:rsid w:val="00F97FA1"/>
    <w:rsid w:val="00FA1C68"/>
    <w:rsid w:val="00FA5A8F"/>
    <w:rsid w:val="00FB1835"/>
    <w:rsid w:val="00FC2184"/>
    <w:rsid w:val="00FD4CDF"/>
    <w:rsid w:val="00FE5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A5E99"/>
  <w15:docId w15:val="{00278EA9-17D5-4FA7-B9D3-65833687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B01E8"/>
    <w:pPr>
      <w:widowControl w:val="0"/>
      <w:ind w:right="3120"/>
      <w:jc w:val="both"/>
      <w:outlineLvl w:val="0"/>
    </w:pPr>
    <w:rPr>
      <w:rFonts w:ascii="Arial" w:eastAsia="Calibri" w:hAnsi="Arial" w:cs="Calibri"/>
      <w:b/>
      <w:bCs/>
      <w:color w:val="000000" w:themeColor="text1"/>
      <w:sz w:val="2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ind w:left="480"/>
    </w:pPr>
    <w:rPr>
      <w:rFonts w:asciiTheme="minorHAnsi" w:hAnsiTheme="minorHAnsi" w:cstheme="minorHAnsi"/>
      <w:i/>
      <w:iCs/>
      <w:sz w:val="20"/>
      <w:szCs w:val="20"/>
    </w:rPr>
  </w:style>
  <w:style w:type="paragraph" w:styleId="Sumrio4">
    <w:name w:val="toc 4"/>
    <w:basedOn w:val="Normal"/>
    <w:next w:val="Normal"/>
    <w:uiPriority w:val="39"/>
    <w:unhideWhenUsed/>
    <w:pPr>
      <w:ind w:left="720"/>
    </w:pPr>
    <w:rPr>
      <w:rFonts w:asciiTheme="minorHAnsi" w:hAnsiTheme="minorHAnsi" w:cstheme="minorHAnsi"/>
      <w:sz w:val="18"/>
      <w:szCs w:val="18"/>
    </w:rPr>
  </w:style>
  <w:style w:type="paragraph" w:styleId="Sumrio5">
    <w:name w:val="toc 5"/>
    <w:basedOn w:val="Normal"/>
    <w:next w:val="Normal"/>
    <w:uiPriority w:val="39"/>
    <w:unhideWhenUsed/>
    <w:pPr>
      <w:ind w:left="960"/>
    </w:pPr>
    <w:rPr>
      <w:rFonts w:asciiTheme="minorHAnsi" w:hAnsiTheme="minorHAnsi" w:cstheme="minorHAnsi"/>
      <w:sz w:val="18"/>
      <w:szCs w:val="18"/>
    </w:rPr>
  </w:style>
  <w:style w:type="paragraph" w:styleId="Sumrio6">
    <w:name w:val="toc 6"/>
    <w:basedOn w:val="Normal"/>
    <w:next w:val="Normal"/>
    <w:uiPriority w:val="39"/>
    <w:unhideWhenUsed/>
    <w:pPr>
      <w:ind w:left="1200"/>
    </w:pPr>
    <w:rPr>
      <w:rFonts w:asciiTheme="minorHAnsi" w:hAnsiTheme="minorHAnsi" w:cstheme="minorHAnsi"/>
      <w:sz w:val="18"/>
      <w:szCs w:val="18"/>
    </w:rPr>
  </w:style>
  <w:style w:type="paragraph" w:styleId="Sumrio7">
    <w:name w:val="toc 7"/>
    <w:basedOn w:val="Normal"/>
    <w:next w:val="Normal"/>
    <w:uiPriority w:val="39"/>
    <w:unhideWhenUsed/>
    <w:pPr>
      <w:ind w:left="1440"/>
    </w:pPr>
    <w:rPr>
      <w:rFonts w:asciiTheme="minorHAnsi" w:hAnsiTheme="minorHAnsi" w:cstheme="minorHAnsi"/>
      <w:sz w:val="18"/>
      <w:szCs w:val="18"/>
    </w:rPr>
  </w:style>
  <w:style w:type="paragraph" w:styleId="Sumrio8">
    <w:name w:val="toc 8"/>
    <w:basedOn w:val="Normal"/>
    <w:next w:val="Normal"/>
    <w:uiPriority w:val="39"/>
    <w:unhideWhenUsed/>
    <w:pPr>
      <w:ind w:left="1680"/>
    </w:pPr>
    <w:rPr>
      <w:rFonts w:asciiTheme="minorHAnsi" w:hAnsiTheme="minorHAnsi" w:cstheme="minorHAnsi"/>
      <w:sz w:val="18"/>
      <w:szCs w:val="18"/>
    </w:rPr>
  </w:style>
  <w:style w:type="paragraph" w:styleId="Sumrio9">
    <w:name w:val="toc 9"/>
    <w:basedOn w:val="Normal"/>
    <w:next w:val="Normal"/>
    <w:uiPriority w:val="39"/>
    <w:unhideWhenUsed/>
    <w:pPr>
      <w:ind w:left="1920"/>
    </w:pPr>
    <w:rPr>
      <w:rFonts w:asciiTheme="minorHAnsi" w:hAnsiTheme="minorHAnsi" w:cstheme="minorHAnsi"/>
      <w:sz w:val="18"/>
      <w:szCs w:val="18"/>
    </w:rPr>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ind w:left="240"/>
    </w:pPr>
    <w:rPr>
      <w:rFonts w:asciiTheme="minorHAnsi" w:hAnsiTheme="minorHAnsi" w:cstheme="minorHAnsi"/>
      <w:smallCaps/>
      <w:sz w:val="20"/>
      <w:szCs w:val="20"/>
    </w:rPr>
  </w:style>
  <w:style w:type="paragraph" w:styleId="Sumrio1">
    <w:name w:val="toc 1"/>
    <w:aliases w:val="Ementa"/>
    <w:basedOn w:val="Normal"/>
    <w:next w:val="Normal"/>
    <w:uiPriority w:val="39"/>
    <w:unhideWhenUsed/>
    <w:qFormat/>
    <w:rsid w:val="004B01E8"/>
    <w:pPr>
      <w:spacing w:before="120" w:after="120"/>
    </w:pPr>
    <w:rPr>
      <w:rFonts w:asciiTheme="minorHAnsi" w:hAnsiTheme="minorHAnsi" w:cstheme="minorHAnsi"/>
      <w:b/>
      <w:bCs/>
      <w:caps/>
      <w:sz w:val="20"/>
      <w:szCs w:val="20"/>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4B01E8"/>
    <w:rPr>
      <w:rFonts w:ascii="Arial" w:eastAsia="Calibri" w:hAnsi="Arial" w:cs="Calibri"/>
      <w:b/>
      <w:bCs/>
      <w:color w:val="000000" w:themeColor="text1"/>
      <w:sz w:val="2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 w:type="paragraph" w:customStyle="1" w:styleId="p1">
    <w:name w:val="p1"/>
    <w:basedOn w:val="Normal"/>
    <w:rsid w:val="00FA1C68"/>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807">
      <w:bodyDiv w:val="1"/>
      <w:marLeft w:val="0"/>
      <w:marRight w:val="0"/>
      <w:marTop w:val="0"/>
      <w:marBottom w:val="0"/>
      <w:divBdr>
        <w:top w:val="none" w:sz="0" w:space="0" w:color="auto"/>
        <w:left w:val="none" w:sz="0" w:space="0" w:color="auto"/>
        <w:bottom w:val="none" w:sz="0" w:space="0" w:color="auto"/>
        <w:right w:val="none" w:sz="0" w:space="0" w:color="auto"/>
      </w:divBdr>
    </w:div>
    <w:div w:id="48916251">
      <w:bodyDiv w:val="1"/>
      <w:marLeft w:val="0"/>
      <w:marRight w:val="0"/>
      <w:marTop w:val="0"/>
      <w:marBottom w:val="0"/>
      <w:divBdr>
        <w:top w:val="none" w:sz="0" w:space="0" w:color="auto"/>
        <w:left w:val="none" w:sz="0" w:space="0" w:color="auto"/>
        <w:bottom w:val="none" w:sz="0" w:space="0" w:color="auto"/>
        <w:right w:val="none" w:sz="0" w:space="0" w:color="auto"/>
      </w:divBdr>
      <w:divsChild>
        <w:div w:id="1341272735">
          <w:marLeft w:val="0"/>
          <w:marRight w:val="0"/>
          <w:marTop w:val="0"/>
          <w:marBottom w:val="0"/>
          <w:divBdr>
            <w:top w:val="none" w:sz="0" w:space="0" w:color="auto"/>
            <w:left w:val="none" w:sz="0" w:space="0" w:color="auto"/>
            <w:bottom w:val="none" w:sz="0" w:space="0" w:color="auto"/>
            <w:right w:val="none" w:sz="0" w:space="0" w:color="auto"/>
          </w:divBdr>
          <w:divsChild>
            <w:div w:id="1261640578">
              <w:marLeft w:val="0"/>
              <w:marRight w:val="0"/>
              <w:marTop w:val="0"/>
              <w:marBottom w:val="0"/>
              <w:divBdr>
                <w:top w:val="none" w:sz="0" w:space="0" w:color="auto"/>
                <w:left w:val="none" w:sz="0" w:space="0" w:color="auto"/>
                <w:bottom w:val="none" w:sz="0" w:space="0" w:color="auto"/>
                <w:right w:val="none" w:sz="0" w:space="0" w:color="auto"/>
              </w:divBdr>
              <w:divsChild>
                <w:div w:id="20975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787">
      <w:bodyDiv w:val="1"/>
      <w:marLeft w:val="0"/>
      <w:marRight w:val="0"/>
      <w:marTop w:val="0"/>
      <w:marBottom w:val="0"/>
      <w:divBdr>
        <w:top w:val="none" w:sz="0" w:space="0" w:color="auto"/>
        <w:left w:val="none" w:sz="0" w:space="0" w:color="auto"/>
        <w:bottom w:val="none" w:sz="0" w:space="0" w:color="auto"/>
        <w:right w:val="none" w:sz="0" w:space="0" w:color="auto"/>
      </w:divBdr>
    </w:div>
    <w:div w:id="161820283">
      <w:bodyDiv w:val="1"/>
      <w:marLeft w:val="0"/>
      <w:marRight w:val="0"/>
      <w:marTop w:val="0"/>
      <w:marBottom w:val="0"/>
      <w:divBdr>
        <w:top w:val="none" w:sz="0" w:space="0" w:color="auto"/>
        <w:left w:val="none" w:sz="0" w:space="0" w:color="auto"/>
        <w:bottom w:val="none" w:sz="0" w:space="0" w:color="auto"/>
        <w:right w:val="none" w:sz="0" w:space="0" w:color="auto"/>
      </w:divBdr>
      <w:divsChild>
        <w:div w:id="1928339668">
          <w:marLeft w:val="0"/>
          <w:marRight w:val="0"/>
          <w:marTop w:val="0"/>
          <w:marBottom w:val="0"/>
          <w:divBdr>
            <w:top w:val="none" w:sz="0" w:space="0" w:color="auto"/>
            <w:left w:val="none" w:sz="0" w:space="0" w:color="auto"/>
            <w:bottom w:val="none" w:sz="0" w:space="0" w:color="auto"/>
            <w:right w:val="none" w:sz="0" w:space="0" w:color="auto"/>
          </w:divBdr>
          <w:divsChild>
            <w:div w:id="1378969260">
              <w:marLeft w:val="0"/>
              <w:marRight w:val="0"/>
              <w:marTop w:val="0"/>
              <w:marBottom w:val="0"/>
              <w:divBdr>
                <w:top w:val="none" w:sz="0" w:space="0" w:color="auto"/>
                <w:left w:val="none" w:sz="0" w:space="0" w:color="auto"/>
                <w:bottom w:val="none" w:sz="0" w:space="0" w:color="auto"/>
                <w:right w:val="none" w:sz="0" w:space="0" w:color="auto"/>
              </w:divBdr>
              <w:divsChild>
                <w:div w:id="1689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7906">
      <w:bodyDiv w:val="1"/>
      <w:marLeft w:val="0"/>
      <w:marRight w:val="0"/>
      <w:marTop w:val="0"/>
      <w:marBottom w:val="0"/>
      <w:divBdr>
        <w:top w:val="none" w:sz="0" w:space="0" w:color="auto"/>
        <w:left w:val="none" w:sz="0" w:space="0" w:color="auto"/>
        <w:bottom w:val="none" w:sz="0" w:space="0" w:color="auto"/>
        <w:right w:val="none" w:sz="0" w:space="0" w:color="auto"/>
      </w:divBdr>
    </w:div>
    <w:div w:id="198785541">
      <w:bodyDiv w:val="1"/>
      <w:marLeft w:val="0"/>
      <w:marRight w:val="0"/>
      <w:marTop w:val="0"/>
      <w:marBottom w:val="0"/>
      <w:divBdr>
        <w:top w:val="none" w:sz="0" w:space="0" w:color="auto"/>
        <w:left w:val="none" w:sz="0" w:space="0" w:color="auto"/>
        <w:bottom w:val="none" w:sz="0" w:space="0" w:color="auto"/>
        <w:right w:val="none" w:sz="0" w:space="0" w:color="auto"/>
      </w:divBdr>
      <w:divsChild>
        <w:div w:id="46150773">
          <w:marLeft w:val="0"/>
          <w:marRight w:val="0"/>
          <w:marTop w:val="0"/>
          <w:marBottom w:val="0"/>
          <w:divBdr>
            <w:top w:val="none" w:sz="0" w:space="0" w:color="auto"/>
            <w:left w:val="none" w:sz="0" w:space="0" w:color="auto"/>
            <w:bottom w:val="none" w:sz="0" w:space="0" w:color="auto"/>
            <w:right w:val="none" w:sz="0" w:space="0" w:color="auto"/>
          </w:divBdr>
          <w:divsChild>
            <w:div w:id="569845990">
              <w:marLeft w:val="0"/>
              <w:marRight w:val="0"/>
              <w:marTop w:val="0"/>
              <w:marBottom w:val="0"/>
              <w:divBdr>
                <w:top w:val="none" w:sz="0" w:space="0" w:color="auto"/>
                <w:left w:val="none" w:sz="0" w:space="0" w:color="auto"/>
                <w:bottom w:val="none" w:sz="0" w:space="0" w:color="auto"/>
                <w:right w:val="none" w:sz="0" w:space="0" w:color="auto"/>
              </w:divBdr>
              <w:divsChild>
                <w:div w:id="9266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47216">
      <w:bodyDiv w:val="1"/>
      <w:marLeft w:val="0"/>
      <w:marRight w:val="0"/>
      <w:marTop w:val="0"/>
      <w:marBottom w:val="0"/>
      <w:divBdr>
        <w:top w:val="none" w:sz="0" w:space="0" w:color="auto"/>
        <w:left w:val="none" w:sz="0" w:space="0" w:color="auto"/>
        <w:bottom w:val="none" w:sz="0" w:space="0" w:color="auto"/>
        <w:right w:val="none" w:sz="0" w:space="0" w:color="auto"/>
      </w:divBdr>
      <w:divsChild>
        <w:div w:id="78453108">
          <w:marLeft w:val="0"/>
          <w:marRight w:val="0"/>
          <w:marTop w:val="0"/>
          <w:marBottom w:val="0"/>
          <w:divBdr>
            <w:top w:val="none" w:sz="0" w:space="0" w:color="auto"/>
            <w:left w:val="none" w:sz="0" w:space="0" w:color="auto"/>
            <w:bottom w:val="none" w:sz="0" w:space="0" w:color="auto"/>
            <w:right w:val="none" w:sz="0" w:space="0" w:color="auto"/>
          </w:divBdr>
          <w:divsChild>
            <w:div w:id="1917930601">
              <w:marLeft w:val="0"/>
              <w:marRight w:val="0"/>
              <w:marTop w:val="0"/>
              <w:marBottom w:val="0"/>
              <w:divBdr>
                <w:top w:val="none" w:sz="0" w:space="0" w:color="auto"/>
                <w:left w:val="none" w:sz="0" w:space="0" w:color="auto"/>
                <w:bottom w:val="none" w:sz="0" w:space="0" w:color="auto"/>
                <w:right w:val="none" w:sz="0" w:space="0" w:color="auto"/>
              </w:divBdr>
              <w:divsChild>
                <w:div w:id="5624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2549">
      <w:bodyDiv w:val="1"/>
      <w:marLeft w:val="0"/>
      <w:marRight w:val="0"/>
      <w:marTop w:val="0"/>
      <w:marBottom w:val="0"/>
      <w:divBdr>
        <w:top w:val="none" w:sz="0" w:space="0" w:color="auto"/>
        <w:left w:val="none" w:sz="0" w:space="0" w:color="auto"/>
        <w:bottom w:val="none" w:sz="0" w:space="0" w:color="auto"/>
        <w:right w:val="none" w:sz="0" w:space="0" w:color="auto"/>
      </w:divBdr>
    </w:div>
    <w:div w:id="291907415">
      <w:bodyDiv w:val="1"/>
      <w:marLeft w:val="0"/>
      <w:marRight w:val="0"/>
      <w:marTop w:val="0"/>
      <w:marBottom w:val="0"/>
      <w:divBdr>
        <w:top w:val="none" w:sz="0" w:space="0" w:color="auto"/>
        <w:left w:val="none" w:sz="0" w:space="0" w:color="auto"/>
        <w:bottom w:val="none" w:sz="0" w:space="0" w:color="auto"/>
        <w:right w:val="none" w:sz="0" w:space="0" w:color="auto"/>
      </w:divBdr>
      <w:divsChild>
        <w:div w:id="643898327">
          <w:marLeft w:val="0"/>
          <w:marRight w:val="0"/>
          <w:marTop w:val="0"/>
          <w:marBottom w:val="0"/>
          <w:divBdr>
            <w:top w:val="none" w:sz="0" w:space="0" w:color="auto"/>
            <w:left w:val="none" w:sz="0" w:space="0" w:color="auto"/>
            <w:bottom w:val="none" w:sz="0" w:space="0" w:color="auto"/>
            <w:right w:val="none" w:sz="0" w:space="0" w:color="auto"/>
          </w:divBdr>
          <w:divsChild>
            <w:div w:id="2113164475">
              <w:marLeft w:val="0"/>
              <w:marRight w:val="0"/>
              <w:marTop w:val="0"/>
              <w:marBottom w:val="0"/>
              <w:divBdr>
                <w:top w:val="none" w:sz="0" w:space="0" w:color="auto"/>
                <w:left w:val="none" w:sz="0" w:space="0" w:color="auto"/>
                <w:bottom w:val="none" w:sz="0" w:space="0" w:color="auto"/>
                <w:right w:val="none" w:sz="0" w:space="0" w:color="auto"/>
              </w:divBdr>
              <w:divsChild>
                <w:div w:id="551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768">
      <w:bodyDiv w:val="1"/>
      <w:marLeft w:val="0"/>
      <w:marRight w:val="0"/>
      <w:marTop w:val="0"/>
      <w:marBottom w:val="0"/>
      <w:divBdr>
        <w:top w:val="none" w:sz="0" w:space="0" w:color="auto"/>
        <w:left w:val="none" w:sz="0" w:space="0" w:color="auto"/>
        <w:bottom w:val="none" w:sz="0" w:space="0" w:color="auto"/>
        <w:right w:val="none" w:sz="0" w:space="0" w:color="auto"/>
      </w:divBdr>
      <w:divsChild>
        <w:div w:id="1571648113">
          <w:marLeft w:val="0"/>
          <w:marRight w:val="0"/>
          <w:marTop w:val="0"/>
          <w:marBottom w:val="0"/>
          <w:divBdr>
            <w:top w:val="none" w:sz="0" w:space="0" w:color="auto"/>
            <w:left w:val="none" w:sz="0" w:space="0" w:color="auto"/>
            <w:bottom w:val="none" w:sz="0" w:space="0" w:color="auto"/>
            <w:right w:val="none" w:sz="0" w:space="0" w:color="auto"/>
          </w:divBdr>
          <w:divsChild>
            <w:div w:id="193471219">
              <w:marLeft w:val="0"/>
              <w:marRight w:val="0"/>
              <w:marTop w:val="0"/>
              <w:marBottom w:val="0"/>
              <w:divBdr>
                <w:top w:val="none" w:sz="0" w:space="0" w:color="auto"/>
                <w:left w:val="none" w:sz="0" w:space="0" w:color="auto"/>
                <w:bottom w:val="none" w:sz="0" w:space="0" w:color="auto"/>
                <w:right w:val="none" w:sz="0" w:space="0" w:color="auto"/>
              </w:divBdr>
              <w:divsChild>
                <w:div w:id="15447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56830">
      <w:bodyDiv w:val="1"/>
      <w:marLeft w:val="0"/>
      <w:marRight w:val="0"/>
      <w:marTop w:val="0"/>
      <w:marBottom w:val="0"/>
      <w:divBdr>
        <w:top w:val="none" w:sz="0" w:space="0" w:color="auto"/>
        <w:left w:val="none" w:sz="0" w:space="0" w:color="auto"/>
        <w:bottom w:val="none" w:sz="0" w:space="0" w:color="auto"/>
        <w:right w:val="none" w:sz="0" w:space="0" w:color="auto"/>
      </w:divBdr>
      <w:divsChild>
        <w:div w:id="2140416109">
          <w:marLeft w:val="0"/>
          <w:marRight w:val="0"/>
          <w:marTop w:val="0"/>
          <w:marBottom w:val="300"/>
          <w:divBdr>
            <w:top w:val="none" w:sz="0" w:space="0" w:color="auto"/>
            <w:left w:val="none" w:sz="0" w:space="0" w:color="auto"/>
            <w:bottom w:val="none" w:sz="0" w:space="0" w:color="auto"/>
            <w:right w:val="none" w:sz="0" w:space="0" w:color="auto"/>
          </w:divBdr>
          <w:divsChild>
            <w:div w:id="889608782">
              <w:marLeft w:val="0"/>
              <w:marRight w:val="0"/>
              <w:marTop w:val="0"/>
              <w:marBottom w:val="0"/>
              <w:divBdr>
                <w:top w:val="none" w:sz="0" w:space="0" w:color="auto"/>
                <w:left w:val="none" w:sz="0" w:space="0" w:color="auto"/>
                <w:bottom w:val="none" w:sz="0" w:space="0" w:color="auto"/>
                <w:right w:val="none" w:sz="0" w:space="0" w:color="auto"/>
              </w:divBdr>
              <w:divsChild>
                <w:div w:id="20577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48412">
          <w:marLeft w:val="0"/>
          <w:marRight w:val="0"/>
          <w:marTop w:val="0"/>
          <w:marBottom w:val="300"/>
          <w:divBdr>
            <w:top w:val="none" w:sz="0" w:space="0" w:color="auto"/>
            <w:left w:val="none" w:sz="0" w:space="0" w:color="auto"/>
            <w:bottom w:val="none" w:sz="0" w:space="0" w:color="auto"/>
            <w:right w:val="none" w:sz="0" w:space="0" w:color="auto"/>
          </w:divBdr>
        </w:div>
        <w:div w:id="1004472500">
          <w:marLeft w:val="0"/>
          <w:marRight w:val="0"/>
          <w:marTop w:val="0"/>
          <w:marBottom w:val="300"/>
          <w:divBdr>
            <w:top w:val="none" w:sz="0" w:space="0" w:color="auto"/>
            <w:left w:val="none" w:sz="0" w:space="0" w:color="auto"/>
            <w:bottom w:val="none" w:sz="0" w:space="0" w:color="auto"/>
            <w:right w:val="none" w:sz="0" w:space="0" w:color="auto"/>
          </w:divBdr>
          <w:divsChild>
            <w:div w:id="1784225365">
              <w:marLeft w:val="0"/>
              <w:marRight w:val="0"/>
              <w:marTop w:val="0"/>
              <w:marBottom w:val="0"/>
              <w:divBdr>
                <w:top w:val="none" w:sz="0" w:space="0" w:color="auto"/>
                <w:left w:val="none" w:sz="0" w:space="0" w:color="auto"/>
                <w:bottom w:val="none" w:sz="0" w:space="0" w:color="auto"/>
                <w:right w:val="none" w:sz="0" w:space="0" w:color="auto"/>
              </w:divBdr>
            </w:div>
          </w:divsChild>
        </w:div>
        <w:div w:id="1402826655">
          <w:marLeft w:val="0"/>
          <w:marRight w:val="0"/>
          <w:marTop w:val="0"/>
          <w:marBottom w:val="300"/>
          <w:divBdr>
            <w:top w:val="none" w:sz="0" w:space="0" w:color="auto"/>
            <w:left w:val="none" w:sz="0" w:space="0" w:color="auto"/>
            <w:bottom w:val="none" w:sz="0" w:space="0" w:color="auto"/>
            <w:right w:val="none" w:sz="0" w:space="0" w:color="auto"/>
          </w:divBdr>
          <w:divsChild>
            <w:div w:id="1816675361">
              <w:marLeft w:val="0"/>
              <w:marRight w:val="0"/>
              <w:marTop w:val="0"/>
              <w:marBottom w:val="0"/>
              <w:divBdr>
                <w:top w:val="none" w:sz="0" w:space="0" w:color="auto"/>
                <w:left w:val="none" w:sz="0" w:space="0" w:color="auto"/>
                <w:bottom w:val="none" w:sz="0" w:space="0" w:color="auto"/>
                <w:right w:val="none" w:sz="0" w:space="0" w:color="auto"/>
              </w:divBdr>
            </w:div>
          </w:divsChild>
        </w:div>
        <w:div w:id="476189316">
          <w:marLeft w:val="0"/>
          <w:marRight w:val="0"/>
          <w:marTop w:val="0"/>
          <w:marBottom w:val="300"/>
          <w:divBdr>
            <w:top w:val="none" w:sz="0" w:space="0" w:color="auto"/>
            <w:left w:val="none" w:sz="0" w:space="0" w:color="auto"/>
            <w:bottom w:val="none" w:sz="0" w:space="0" w:color="auto"/>
            <w:right w:val="none" w:sz="0" w:space="0" w:color="auto"/>
          </w:divBdr>
          <w:divsChild>
            <w:div w:id="1278758464">
              <w:marLeft w:val="0"/>
              <w:marRight w:val="0"/>
              <w:marTop w:val="0"/>
              <w:marBottom w:val="0"/>
              <w:divBdr>
                <w:top w:val="none" w:sz="0" w:space="0" w:color="auto"/>
                <w:left w:val="none" w:sz="0" w:space="0" w:color="auto"/>
                <w:bottom w:val="none" w:sz="0" w:space="0" w:color="auto"/>
                <w:right w:val="none" w:sz="0" w:space="0" w:color="auto"/>
              </w:divBdr>
            </w:div>
          </w:divsChild>
        </w:div>
        <w:div w:id="1552381524">
          <w:marLeft w:val="0"/>
          <w:marRight w:val="0"/>
          <w:marTop w:val="0"/>
          <w:marBottom w:val="300"/>
          <w:divBdr>
            <w:top w:val="none" w:sz="0" w:space="0" w:color="auto"/>
            <w:left w:val="none" w:sz="0" w:space="0" w:color="auto"/>
            <w:bottom w:val="none" w:sz="0" w:space="0" w:color="auto"/>
            <w:right w:val="none" w:sz="0" w:space="0" w:color="auto"/>
          </w:divBdr>
          <w:divsChild>
            <w:div w:id="1437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6995">
      <w:bodyDiv w:val="1"/>
      <w:marLeft w:val="0"/>
      <w:marRight w:val="0"/>
      <w:marTop w:val="0"/>
      <w:marBottom w:val="0"/>
      <w:divBdr>
        <w:top w:val="none" w:sz="0" w:space="0" w:color="auto"/>
        <w:left w:val="none" w:sz="0" w:space="0" w:color="auto"/>
        <w:bottom w:val="none" w:sz="0" w:space="0" w:color="auto"/>
        <w:right w:val="none" w:sz="0" w:space="0" w:color="auto"/>
      </w:divBdr>
      <w:divsChild>
        <w:div w:id="82577586">
          <w:marLeft w:val="0"/>
          <w:marRight w:val="0"/>
          <w:marTop w:val="0"/>
          <w:marBottom w:val="0"/>
          <w:divBdr>
            <w:top w:val="none" w:sz="0" w:space="0" w:color="auto"/>
            <w:left w:val="none" w:sz="0" w:space="0" w:color="auto"/>
            <w:bottom w:val="none" w:sz="0" w:space="0" w:color="auto"/>
            <w:right w:val="none" w:sz="0" w:space="0" w:color="auto"/>
          </w:divBdr>
          <w:divsChild>
            <w:div w:id="660351199">
              <w:marLeft w:val="0"/>
              <w:marRight w:val="0"/>
              <w:marTop w:val="0"/>
              <w:marBottom w:val="0"/>
              <w:divBdr>
                <w:top w:val="none" w:sz="0" w:space="0" w:color="auto"/>
                <w:left w:val="none" w:sz="0" w:space="0" w:color="auto"/>
                <w:bottom w:val="none" w:sz="0" w:space="0" w:color="auto"/>
                <w:right w:val="none" w:sz="0" w:space="0" w:color="auto"/>
              </w:divBdr>
              <w:divsChild>
                <w:div w:id="726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38960">
      <w:bodyDiv w:val="1"/>
      <w:marLeft w:val="0"/>
      <w:marRight w:val="0"/>
      <w:marTop w:val="0"/>
      <w:marBottom w:val="0"/>
      <w:divBdr>
        <w:top w:val="none" w:sz="0" w:space="0" w:color="auto"/>
        <w:left w:val="none" w:sz="0" w:space="0" w:color="auto"/>
        <w:bottom w:val="none" w:sz="0" w:space="0" w:color="auto"/>
        <w:right w:val="none" w:sz="0" w:space="0" w:color="auto"/>
      </w:divBdr>
      <w:divsChild>
        <w:div w:id="2047825116">
          <w:marLeft w:val="0"/>
          <w:marRight w:val="0"/>
          <w:marTop w:val="0"/>
          <w:marBottom w:val="0"/>
          <w:divBdr>
            <w:top w:val="none" w:sz="0" w:space="0" w:color="auto"/>
            <w:left w:val="none" w:sz="0" w:space="0" w:color="auto"/>
            <w:bottom w:val="none" w:sz="0" w:space="0" w:color="auto"/>
            <w:right w:val="none" w:sz="0" w:space="0" w:color="auto"/>
          </w:divBdr>
          <w:divsChild>
            <w:div w:id="1953395329">
              <w:marLeft w:val="0"/>
              <w:marRight w:val="0"/>
              <w:marTop w:val="0"/>
              <w:marBottom w:val="0"/>
              <w:divBdr>
                <w:top w:val="none" w:sz="0" w:space="0" w:color="auto"/>
                <w:left w:val="none" w:sz="0" w:space="0" w:color="auto"/>
                <w:bottom w:val="none" w:sz="0" w:space="0" w:color="auto"/>
                <w:right w:val="none" w:sz="0" w:space="0" w:color="auto"/>
              </w:divBdr>
              <w:divsChild>
                <w:div w:id="6201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5411">
      <w:bodyDiv w:val="1"/>
      <w:marLeft w:val="0"/>
      <w:marRight w:val="0"/>
      <w:marTop w:val="0"/>
      <w:marBottom w:val="0"/>
      <w:divBdr>
        <w:top w:val="none" w:sz="0" w:space="0" w:color="auto"/>
        <w:left w:val="none" w:sz="0" w:space="0" w:color="auto"/>
        <w:bottom w:val="none" w:sz="0" w:space="0" w:color="auto"/>
        <w:right w:val="none" w:sz="0" w:space="0" w:color="auto"/>
      </w:divBdr>
      <w:divsChild>
        <w:div w:id="522129116">
          <w:marLeft w:val="0"/>
          <w:marRight w:val="0"/>
          <w:marTop w:val="0"/>
          <w:marBottom w:val="0"/>
          <w:divBdr>
            <w:top w:val="none" w:sz="0" w:space="0" w:color="auto"/>
            <w:left w:val="none" w:sz="0" w:space="0" w:color="auto"/>
            <w:bottom w:val="none" w:sz="0" w:space="0" w:color="auto"/>
            <w:right w:val="none" w:sz="0" w:space="0" w:color="auto"/>
          </w:divBdr>
          <w:divsChild>
            <w:div w:id="1171456388">
              <w:marLeft w:val="0"/>
              <w:marRight w:val="0"/>
              <w:marTop w:val="0"/>
              <w:marBottom w:val="0"/>
              <w:divBdr>
                <w:top w:val="none" w:sz="0" w:space="0" w:color="auto"/>
                <w:left w:val="none" w:sz="0" w:space="0" w:color="auto"/>
                <w:bottom w:val="none" w:sz="0" w:space="0" w:color="auto"/>
                <w:right w:val="none" w:sz="0" w:space="0" w:color="auto"/>
              </w:divBdr>
              <w:divsChild>
                <w:div w:id="2068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372">
      <w:bodyDiv w:val="1"/>
      <w:marLeft w:val="0"/>
      <w:marRight w:val="0"/>
      <w:marTop w:val="0"/>
      <w:marBottom w:val="0"/>
      <w:divBdr>
        <w:top w:val="none" w:sz="0" w:space="0" w:color="auto"/>
        <w:left w:val="none" w:sz="0" w:space="0" w:color="auto"/>
        <w:bottom w:val="none" w:sz="0" w:space="0" w:color="auto"/>
        <w:right w:val="none" w:sz="0" w:space="0" w:color="auto"/>
      </w:divBdr>
    </w:div>
    <w:div w:id="855195134">
      <w:bodyDiv w:val="1"/>
      <w:marLeft w:val="0"/>
      <w:marRight w:val="0"/>
      <w:marTop w:val="0"/>
      <w:marBottom w:val="0"/>
      <w:divBdr>
        <w:top w:val="none" w:sz="0" w:space="0" w:color="auto"/>
        <w:left w:val="none" w:sz="0" w:space="0" w:color="auto"/>
        <w:bottom w:val="none" w:sz="0" w:space="0" w:color="auto"/>
        <w:right w:val="none" w:sz="0" w:space="0" w:color="auto"/>
      </w:divBdr>
      <w:divsChild>
        <w:div w:id="959217381">
          <w:marLeft w:val="0"/>
          <w:marRight w:val="0"/>
          <w:marTop w:val="0"/>
          <w:marBottom w:val="0"/>
          <w:divBdr>
            <w:top w:val="none" w:sz="0" w:space="0" w:color="auto"/>
            <w:left w:val="none" w:sz="0" w:space="0" w:color="auto"/>
            <w:bottom w:val="none" w:sz="0" w:space="0" w:color="auto"/>
            <w:right w:val="none" w:sz="0" w:space="0" w:color="auto"/>
          </w:divBdr>
          <w:divsChild>
            <w:div w:id="770011542">
              <w:marLeft w:val="0"/>
              <w:marRight w:val="0"/>
              <w:marTop w:val="0"/>
              <w:marBottom w:val="0"/>
              <w:divBdr>
                <w:top w:val="none" w:sz="0" w:space="0" w:color="auto"/>
                <w:left w:val="none" w:sz="0" w:space="0" w:color="auto"/>
                <w:bottom w:val="none" w:sz="0" w:space="0" w:color="auto"/>
                <w:right w:val="none" w:sz="0" w:space="0" w:color="auto"/>
              </w:divBdr>
              <w:divsChild>
                <w:div w:id="8419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8897">
      <w:bodyDiv w:val="1"/>
      <w:marLeft w:val="0"/>
      <w:marRight w:val="0"/>
      <w:marTop w:val="0"/>
      <w:marBottom w:val="0"/>
      <w:divBdr>
        <w:top w:val="none" w:sz="0" w:space="0" w:color="auto"/>
        <w:left w:val="none" w:sz="0" w:space="0" w:color="auto"/>
        <w:bottom w:val="none" w:sz="0" w:space="0" w:color="auto"/>
        <w:right w:val="none" w:sz="0" w:space="0" w:color="auto"/>
      </w:divBdr>
      <w:divsChild>
        <w:div w:id="746466388">
          <w:marLeft w:val="0"/>
          <w:marRight w:val="0"/>
          <w:marTop w:val="0"/>
          <w:marBottom w:val="0"/>
          <w:divBdr>
            <w:top w:val="none" w:sz="0" w:space="0" w:color="auto"/>
            <w:left w:val="none" w:sz="0" w:space="0" w:color="auto"/>
            <w:bottom w:val="none" w:sz="0" w:space="0" w:color="auto"/>
            <w:right w:val="none" w:sz="0" w:space="0" w:color="auto"/>
          </w:divBdr>
          <w:divsChild>
            <w:div w:id="1979214209">
              <w:marLeft w:val="0"/>
              <w:marRight w:val="0"/>
              <w:marTop w:val="0"/>
              <w:marBottom w:val="0"/>
              <w:divBdr>
                <w:top w:val="none" w:sz="0" w:space="0" w:color="auto"/>
                <w:left w:val="none" w:sz="0" w:space="0" w:color="auto"/>
                <w:bottom w:val="none" w:sz="0" w:space="0" w:color="auto"/>
                <w:right w:val="none" w:sz="0" w:space="0" w:color="auto"/>
              </w:divBdr>
              <w:divsChild>
                <w:div w:id="4847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6256">
      <w:bodyDiv w:val="1"/>
      <w:marLeft w:val="0"/>
      <w:marRight w:val="0"/>
      <w:marTop w:val="0"/>
      <w:marBottom w:val="0"/>
      <w:divBdr>
        <w:top w:val="none" w:sz="0" w:space="0" w:color="auto"/>
        <w:left w:val="none" w:sz="0" w:space="0" w:color="auto"/>
        <w:bottom w:val="none" w:sz="0" w:space="0" w:color="auto"/>
        <w:right w:val="none" w:sz="0" w:space="0" w:color="auto"/>
      </w:divBdr>
      <w:divsChild>
        <w:div w:id="1962179758">
          <w:marLeft w:val="0"/>
          <w:marRight w:val="0"/>
          <w:marTop w:val="0"/>
          <w:marBottom w:val="0"/>
          <w:divBdr>
            <w:top w:val="none" w:sz="0" w:space="0" w:color="auto"/>
            <w:left w:val="none" w:sz="0" w:space="0" w:color="auto"/>
            <w:bottom w:val="none" w:sz="0" w:space="0" w:color="auto"/>
            <w:right w:val="none" w:sz="0" w:space="0" w:color="auto"/>
          </w:divBdr>
          <w:divsChild>
            <w:div w:id="89130584">
              <w:marLeft w:val="0"/>
              <w:marRight w:val="0"/>
              <w:marTop w:val="0"/>
              <w:marBottom w:val="0"/>
              <w:divBdr>
                <w:top w:val="none" w:sz="0" w:space="0" w:color="auto"/>
                <w:left w:val="none" w:sz="0" w:space="0" w:color="auto"/>
                <w:bottom w:val="none" w:sz="0" w:space="0" w:color="auto"/>
                <w:right w:val="none" w:sz="0" w:space="0" w:color="auto"/>
              </w:divBdr>
              <w:divsChild>
                <w:div w:id="11844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2518">
      <w:bodyDiv w:val="1"/>
      <w:marLeft w:val="0"/>
      <w:marRight w:val="0"/>
      <w:marTop w:val="0"/>
      <w:marBottom w:val="0"/>
      <w:divBdr>
        <w:top w:val="none" w:sz="0" w:space="0" w:color="auto"/>
        <w:left w:val="none" w:sz="0" w:space="0" w:color="auto"/>
        <w:bottom w:val="none" w:sz="0" w:space="0" w:color="auto"/>
        <w:right w:val="none" w:sz="0" w:space="0" w:color="auto"/>
      </w:divBdr>
    </w:div>
    <w:div w:id="1059476304">
      <w:bodyDiv w:val="1"/>
      <w:marLeft w:val="0"/>
      <w:marRight w:val="0"/>
      <w:marTop w:val="0"/>
      <w:marBottom w:val="0"/>
      <w:divBdr>
        <w:top w:val="none" w:sz="0" w:space="0" w:color="auto"/>
        <w:left w:val="none" w:sz="0" w:space="0" w:color="auto"/>
        <w:bottom w:val="none" w:sz="0" w:space="0" w:color="auto"/>
        <w:right w:val="none" w:sz="0" w:space="0" w:color="auto"/>
      </w:divBdr>
      <w:divsChild>
        <w:div w:id="996880682">
          <w:marLeft w:val="0"/>
          <w:marRight w:val="0"/>
          <w:marTop w:val="0"/>
          <w:marBottom w:val="0"/>
          <w:divBdr>
            <w:top w:val="none" w:sz="0" w:space="0" w:color="auto"/>
            <w:left w:val="none" w:sz="0" w:space="0" w:color="auto"/>
            <w:bottom w:val="none" w:sz="0" w:space="0" w:color="auto"/>
            <w:right w:val="none" w:sz="0" w:space="0" w:color="auto"/>
          </w:divBdr>
          <w:divsChild>
            <w:div w:id="965042124">
              <w:marLeft w:val="0"/>
              <w:marRight w:val="0"/>
              <w:marTop w:val="0"/>
              <w:marBottom w:val="0"/>
              <w:divBdr>
                <w:top w:val="none" w:sz="0" w:space="0" w:color="auto"/>
                <w:left w:val="none" w:sz="0" w:space="0" w:color="auto"/>
                <w:bottom w:val="none" w:sz="0" w:space="0" w:color="auto"/>
                <w:right w:val="none" w:sz="0" w:space="0" w:color="auto"/>
              </w:divBdr>
              <w:divsChild>
                <w:div w:id="1349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158">
      <w:bodyDiv w:val="1"/>
      <w:marLeft w:val="0"/>
      <w:marRight w:val="0"/>
      <w:marTop w:val="0"/>
      <w:marBottom w:val="0"/>
      <w:divBdr>
        <w:top w:val="none" w:sz="0" w:space="0" w:color="auto"/>
        <w:left w:val="none" w:sz="0" w:space="0" w:color="auto"/>
        <w:bottom w:val="none" w:sz="0" w:space="0" w:color="auto"/>
        <w:right w:val="none" w:sz="0" w:space="0" w:color="auto"/>
      </w:divBdr>
      <w:divsChild>
        <w:div w:id="1455634491">
          <w:marLeft w:val="0"/>
          <w:marRight w:val="0"/>
          <w:marTop w:val="0"/>
          <w:marBottom w:val="0"/>
          <w:divBdr>
            <w:top w:val="none" w:sz="0" w:space="0" w:color="auto"/>
            <w:left w:val="none" w:sz="0" w:space="0" w:color="auto"/>
            <w:bottom w:val="none" w:sz="0" w:space="0" w:color="auto"/>
            <w:right w:val="none" w:sz="0" w:space="0" w:color="auto"/>
          </w:divBdr>
          <w:divsChild>
            <w:div w:id="1482307443">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32450">
      <w:bodyDiv w:val="1"/>
      <w:marLeft w:val="0"/>
      <w:marRight w:val="0"/>
      <w:marTop w:val="0"/>
      <w:marBottom w:val="0"/>
      <w:divBdr>
        <w:top w:val="none" w:sz="0" w:space="0" w:color="auto"/>
        <w:left w:val="none" w:sz="0" w:space="0" w:color="auto"/>
        <w:bottom w:val="none" w:sz="0" w:space="0" w:color="auto"/>
        <w:right w:val="none" w:sz="0" w:space="0" w:color="auto"/>
      </w:divBdr>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9273">
      <w:bodyDiv w:val="1"/>
      <w:marLeft w:val="0"/>
      <w:marRight w:val="0"/>
      <w:marTop w:val="0"/>
      <w:marBottom w:val="0"/>
      <w:divBdr>
        <w:top w:val="none" w:sz="0" w:space="0" w:color="auto"/>
        <w:left w:val="none" w:sz="0" w:space="0" w:color="auto"/>
        <w:bottom w:val="none" w:sz="0" w:space="0" w:color="auto"/>
        <w:right w:val="none" w:sz="0" w:space="0" w:color="auto"/>
      </w:divBdr>
      <w:divsChild>
        <w:div w:id="325717151">
          <w:marLeft w:val="0"/>
          <w:marRight w:val="0"/>
          <w:marTop w:val="0"/>
          <w:marBottom w:val="0"/>
          <w:divBdr>
            <w:top w:val="none" w:sz="0" w:space="0" w:color="auto"/>
            <w:left w:val="none" w:sz="0" w:space="0" w:color="auto"/>
            <w:bottom w:val="none" w:sz="0" w:space="0" w:color="auto"/>
            <w:right w:val="none" w:sz="0" w:space="0" w:color="auto"/>
          </w:divBdr>
          <w:divsChild>
            <w:div w:id="54551696">
              <w:marLeft w:val="0"/>
              <w:marRight w:val="0"/>
              <w:marTop w:val="0"/>
              <w:marBottom w:val="0"/>
              <w:divBdr>
                <w:top w:val="none" w:sz="0" w:space="0" w:color="auto"/>
                <w:left w:val="none" w:sz="0" w:space="0" w:color="auto"/>
                <w:bottom w:val="none" w:sz="0" w:space="0" w:color="auto"/>
                <w:right w:val="none" w:sz="0" w:space="0" w:color="auto"/>
              </w:divBdr>
              <w:divsChild>
                <w:div w:id="4705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0191">
      <w:bodyDiv w:val="1"/>
      <w:marLeft w:val="0"/>
      <w:marRight w:val="0"/>
      <w:marTop w:val="0"/>
      <w:marBottom w:val="0"/>
      <w:divBdr>
        <w:top w:val="none" w:sz="0" w:space="0" w:color="auto"/>
        <w:left w:val="none" w:sz="0" w:space="0" w:color="auto"/>
        <w:bottom w:val="none" w:sz="0" w:space="0" w:color="auto"/>
        <w:right w:val="none" w:sz="0" w:space="0" w:color="auto"/>
      </w:divBdr>
      <w:divsChild>
        <w:div w:id="113528108">
          <w:marLeft w:val="0"/>
          <w:marRight w:val="0"/>
          <w:marTop w:val="0"/>
          <w:marBottom w:val="0"/>
          <w:divBdr>
            <w:top w:val="none" w:sz="0" w:space="0" w:color="auto"/>
            <w:left w:val="none" w:sz="0" w:space="0" w:color="auto"/>
            <w:bottom w:val="none" w:sz="0" w:space="0" w:color="auto"/>
            <w:right w:val="none" w:sz="0" w:space="0" w:color="auto"/>
          </w:divBdr>
          <w:divsChild>
            <w:div w:id="1883638261">
              <w:marLeft w:val="0"/>
              <w:marRight w:val="0"/>
              <w:marTop w:val="0"/>
              <w:marBottom w:val="0"/>
              <w:divBdr>
                <w:top w:val="none" w:sz="0" w:space="0" w:color="auto"/>
                <w:left w:val="none" w:sz="0" w:space="0" w:color="auto"/>
                <w:bottom w:val="none" w:sz="0" w:space="0" w:color="auto"/>
                <w:right w:val="none" w:sz="0" w:space="0" w:color="auto"/>
              </w:divBdr>
              <w:divsChild>
                <w:div w:id="1068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2515">
      <w:bodyDiv w:val="1"/>
      <w:marLeft w:val="0"/>
      <w:marRight w:val="0"/>
      <w:marTop w:val="0"/>
      <w:marBottom w:val="0"/>
      <w:divBdr>
        <w:top w:val="none" w:sz="0" w:space="0" w:color="auto"/>
        <w:left w:val="none" w:sz="0" w:space="0" w:color="auto"/>
        <w:bottom w:val="none" w:sz="0" w:space="0" w:color="auto"/>
        <w:right w:val="none" w:sz="0" w:space="0" w:color="auto"/>
      </w:divBdr>
      <w:divsChild>
        <w:div w:id="754863621">
          <w:marLeft w:val="0"/>
          <w:marRight w:val="0"/>
          <w:marTop w:val="0"/>
          <w:marBottom w:val="0"/>
          <w:divBdr>
            <w:top w:val="none" w:sz="0" w:space="0" w:color="auto"/>
            <w:left w:val="none" w:sz="0" w:space="0" w:color="auto"/>
            <w:bottom w:val="none" w:sz="0" w:space="0" w:color="auto"/>
            <w:right w:val="none" w:sz="0" w:space="0" w:color="auto"/>
          </w:divBdr>
          <w:divsChild>
            <w:div w:id="558135329">
              <w:marLeft w:val="0"/>
              <w:marRight w:val="0"/>
              <w:marTop w:val="0"/>
              <w:marBottom w:val="0"/>
              <w:divBdr>
                <w:top w:val="none" w:sz="0" w:space="0" w:color="auto"/>
                <w:left w:val="none" w:sz="0" w:space="0" w:color="auto"/>
                <w:bottom w:val="none" w:sz="0" w:space="0" w:color="auto"/>
                <w:right w:val="none" w:sz="0" w:space="0" w:color="auto"/>
              </w:divBdr>
              <w:divsChild>
                <w:div w:id="19929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54907">
      <w:bodyDiv w:val="1"/>
      <w:marLeft w:val="0"/>
      <w:marRight w:val="0"/>
      <w:marTop w:val="0"/>
      <w:marBottom w:val="0"/>
      <w:divBdr>
        <w:top w:val="none" w:sz="0" w:space="0" w:color="auto"/>
        <w:left w:val="none" w:sz="0" w:space="0" w:color="auto"/>
        <w:bottom w:val="none" w:sz="0" w:space="0" w:color="auto"/>
        <w:right w:val="none" w:sz="0" w:space="0" w:color="auto"/>
      </w:divBdr>
      <w:divsChild>
        <w:div w:id="123546572">
          <w:marLeft w:val="0"/>
          <w:marRight w:val="0"/>
          <w:marTop w:val="0"/>
          <w:marBottom w:val="0"/>
          <w:divBdr>
            <w:top w:val="none" w:sz="0" w:space="0" w:color="auto"/>
            <w:left w:val="none" w:sz="0" w:space="0" w:color="auto"/>
            <w:bottom w:val="none" w:sz="0" w:space="0" w:color="auto"/>
            <w:right w:val="none" w:sz="0" w:space="0" w:color="auto"/>
          </w:divBdr>
          <w:divsChild>
            <w:div w:id="752434821">
              <w:marLeft w:val="0"/>
              <w:marRight w:val="0"/>
              <w:marTop w:val="0"/>
              <w:marBottom w:val="0"/>
              <w:divBdr>
                <w:top w:val="none" w:sz="0" w:space="0" w:color="auto"/>
                <w:left w:val="none" w:sz="0" w:space="0" w:color="auto"/>
                <w:bottom w:val="none" w:sz="0" w:space="0" w:color="auto"/>
                <w:right w:val="none" w:sz="0" w:space="0" w:color="auto"/>
              </w:divBdr>
              <w:divsChild>
                <w:div w:id="7595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6285">
      <w:bodyDiv w:val="1"/>
      <w:marLeft w:val="0"/>
      <w:marRight w:val="0"/>
      <w:marTop w:val="0"/>
      <w:marBottom w:val="0"/>
      <w:divBdr>
        <w:top w:val="none" w:sz="0" w:space="0" w:color="auto"/>
        <w:left w:val="none" w:sz="0" w:space="0" w:color="auto"/>
        <w:bottom w:val="none" w:sz="0" w:space="0" w:color="auto"/>
        <w:right w:val="none" w:sz="0" w:space="0" w:color="auto"/>
      </w:divBdr>
      <w:divsChild>
        <w:div w:id="1497576700">
          <w:marLeft w:val="0"/>
          <w:marRight w:val="0"/>
          <w:marTop w:val="0"/>
          <w:marBottom w:val="0"/>
          <w:divBdr>
            <w:top w:val="none" w:sz="0" w:space="0" w:color="auto"/>
            <w:left w:val="none" w:sz="0" w:space="0" w:color="auto"/>
            <w:bottom w:val="none" w:sz="0" w:space="0" w:color="auto"/>
            <w:right w:val="none" w:sz="0" w:space="0" w:color="auto"/>
          </w:divBdr>
          <w:divsChild>
            <w:div w:id="88045539">
              <w:marLeft w:val="0"/>
              <w:marRight w:val="0"/>
              <w:marTop w:val="0"/>
              <w:marBottom w:val="0"/>
              <w:divBdr>
                <w:top w:val="none" w:sz="0" w:space="0" w:color="auto"/>
                <w:left w:val="none" w:sz="0" w:space="0" w:color="auto"/>
                <w:bottom w:val="none" w:sz="0" w:space="0" w:color="auto"/>
                <w:right w:val="none" w:sz="0" w:space="0" w:color="auto"/>
              </w:divBdr>
              <w:divsChild>
                <w:div w:id="5245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9333">
      <w:bodyDiv w:val="1"/>
      <w:marLeft w:val="0"/>
      <w:marRight w:val="0"/>
      <w:marTop w:val="0"/>
      <w:marBottom w:val="0"/>
      <w:divBdr>
        <w:top w:val="none" w:sz="0" w:space="0" w:color="auto"/>
        <w:left w:val="none" w:sz="0" w:space="0" w:color="auto"/>
        <w:bottom w:val="none" w:sz="0" w:space="0" w:color="auto"/>
        <w:right w:val="none" w:sz="0" w:space="0" w:color="auto"/>
      </w:divBdr>
      <w:divsChild>
        <w:div w:id="1318799454">
          <w:marLeft w:val="0"/>
          <w:marRight w:val="0"/>
          <w:marTop w:val="0"/>
          <w:marBottom w:val="0"/>
          <w:divBdr>
            <w:top w:val="none" w:sz="0" w:space="0" w:color="auto"/>
            <w:left w:val="none" w:sz="0" w:space="0" w:color="auto"/>
            <w:bottom w:val="none" w:sz="0" w:space="0" w:color="auto"/>
            <w:right w:val="none" w:sz="0" w:space="0" w:color="auto"/>
          </w:divBdr>
          <w:divsChild>
            <w:div w:id="818110026">
              <w:marLeft w:val="0"/>
              <w:marRight w:val="0"/>
              <w:marTop w:val="0"/>
              <w:marBottom w:val="0"/>
              <w:divBdr>
                <w:top w:val="none" w:sz="0" w:space="0" w:color="auto"/>
                <w:left w:val="none" w:sz="0" w:space="0" w:color="auto"/>
                <w:bottom w:val="none" w:sz="0" w:space="0" w:color="auto"/>
                <w:right w:val="none" w:sz="0" w:space="0" w:color="auto"/>
              </w:divBdr>
              <w:divsChild>
                <w:div w:id="1183284854">
                  <w:marLeft w:val="0"/>
                  <w:marRight w:val="0"/>
                  <w:marTop w:val="0"/>
                  <w:marBottom w:val="0"/>
                  <w:divBdr>
                    <w:top w:val="none" w:sz="0" w:space="0" w:color="auto"/>
                    <w:left w:val="none" w:sz="0" w:space="0" w:color="auto"/>
                    <w:bottom w:val="none" w:sz="0" w:space="0" w:color="auto"/>
                    <w:right w:val="none" w:sz="0" w:space="0" w:color="auto"/>
                  </w:divBdr>
                  <w:divsChild>
                    <w:div w:id="7501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3039">
      <w:bodyDiv w:val="1"/>
      <w:marLeft w:val="0"/>
      <w:marRight w:val="0"/>
      <w:marTop w:val="0"/>
      <w:marBottom w:val="0"/>
      <w:divBdr>
        <w:top w:val="none" w:sz="0" w:space="0" w:color="auto"/>
        <w:left w:val="none" w:sz="0" w:space="0" w:color="auto"/>
        <w:bottom w:val="none" w:sz="0" w:space="0" w:color="auto"/>
        <w:right w:val="none" w:sz="0" w:space="0" w:color="auto"/>
      </w:divBdr>
      <w:divsChild>
        <w:div w:id="1674257092">
          <w:marLeft w:val="0"/>
          <w:marRight w:val="0"/>
          <w:marTop w:val="0"/>
          <w:marBottom w:val="0"/>
          <w:divBdr>
            <w:top w:val="none" w:sz="0" w:space="0" w:color="auto"/>
            <w:left w:val="none" w:sz="0" w:space="0" w:color="auto"/>
            <w:bottom w:val="none" w:sz="0" w:space="0" w:color="auto"/>
            <w:right w:val="none" w:sz="0" w:space="0" w:color="auto"/>
          </w:divBdr>
          <w:divsChild>
            <w:div w:id="811676244">
              <w:marLeft w:val="0"/>
              <w:marRight w:val="0"/>
              <w:marTop w:val="0"/>
              <w:marBottom w:val="0"/>
              <w:divBdr>
                <w:top w:val="none" w:sz="0" w:space="0" w:color="auto"/>
                <w:left w:val="none" w:sz="0" w:space="0" w:color="auto"/>
                <w:bottom w:val="none" w:sz="0" w:space="0" w:color="auto"/>
                <w:right w:val="none" w:sz="0" w:space="0" w:color="auto"/>
              </w:divBdr>
              <w:divsChild>
                <w:div w:id="1400398459">
                  <w:marLeft w:val="0"/>
                  <w:marRight w:val="0"/>
                  <w:marTop w:val="0"/>
                  <w:marBottom w:val="0"/>
                  <w:divBdr>
                    <w:top w:val="none" w:sz="0" w:space="0" w:color="auto"/>
                    <w:left w:val="none" w:sz="0" w:space="0" w:color="auto"/>
                    <w:bottom w:val="none" w:sz="0" w:space="0" w:color="auto"/>
                    <w:right w:val="none" w:sz="0" w:space="0" w:color="auto"/>
                  </w:divBdr>
                  <w:divsChild>
                    <w:div w:id="4851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50346217">
              <w:marLeft w:val="0"/>
              <w:marRight w:val="0"/>
              <w:marTop w:val="0"/>
              <w:marBottom w:val="0"/>
              <w:divBdr>
                <w:top w:val="none" w:sz="0" w:space="0" w:color="auto"/>
                <w:left w:val="none" w:sz="0" w:space="0" w:color="auto"/>
                <w:bottom w:val="none" w:sz="0" w:space="0" w:color="auto"/>
                <w:right w:val="none" w:sz="0" w:space="0" w:color="auto"/>
              </w:divBdr>
              <w:divsChild>
                <w:div w:id="1702053759">
                  <w:marLeft w:val="0"/>
                  <w:marRight w:val="0"/>
                  <w:marTop w:val="0"/>
                  <w:marBottom w:val="0"/>
                  <w:divBdr>
                    <w:top w:val="none" w:sz="0" w:space="0" w:color="auto"/>
                    <w:left w:val="none" w:sz="0" w:space="0" w:color="auto"/>
                    <w:bottom w:val="none" w:sz="0" w:space="0" w:color="auto"/>
                    <w:right w:val="none" w:sz="0" w:space="0" w:color="auto"/>
                  </w:divBdr>
                </w:div>
                <w:div w:id="1878422132">
                  <w:marLeft w:val="0"/>
                  <w:marRight w:val="0"/>
                  <w:marTop w:val="0"/>
                  <w:marBottom w:val="0"/>
                  <w:divBdr>
                    <w:top w:val="none" w:sz="0" w:space="0" w:color="auto"/>
                    <w:left w:val="none" w:sz="0" w:space="0" w:color="auto"/>
                    <w:bottom w:val="none" w:sz="0" w:space="0" w:color="auto"/>
                    <w:right w:val="none" w:sz="0" w:space="0" w:color="auto"/>
                  </w:divBdr>
                </w:div>
              </w:divsChild>
            </w:div>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20669">
      <w:bodyDiv w:val="1"/>
      <w:marLeft w:val="0"/>
      <w:marRight w:val="0"/>
      <w:marTop w:val="0"/>
      <w:marBottom w:val="0"/>
      <w:divBdr>
        <w:top w:val="none" w:sz="0" w:space="0" w:color="auto"/>
        <w:left w:val="none" w:sz="0" w:space="0" w:color="auto"/>
        <w:bottom w:val="none" w:sz="0" w:space="0" w:color="auto"/>
        <w:right w:val="none" w:sz="0" w:space="0" w:color="auto"/>
      </w:divBdr>
      <w:divsChild>
        <w:div w:id="72513583">
          <w:marLeft w:val="0"/>
          <w:marRight w:val="0"/>
          <w:marTop w:val="0"/>
          <w:marBottom w:val="0"/>
          <w:divBdr>
            <w:top w:val="none" w:sz="0" w:space="0" w:color="auto"/>
            <w:left w:val="none" w:sz="0" w:space="0" w:color="auto"/>
            <w:bottom w:val="none" w:sz="0" w:space="0" w:color="auto"/>
            <w:right w:val="none" w:sz="0" w:space="0" w:color="auto"/>
          </w:divBdr>
          <w:divsChild>
            <w:div w:id="920139726">
              <w:marLeft w:val="0"/>
              <w:marRight w:val="0"/>
              <w:marTop w:val="0"/>
              <w:marBottom w:val="0"/>
              <w:divBdr>
                <w:top w:val="none" w:sz="0" w:space="0" w:color="auto"/>
                <w:left w:val="none" w:sz="0" w:space="0" w:color="auto"/>
                <w:bottom w:val="none" w:sz="0" w:space="0" w:color="auto"/>
                <w:right w:val="none" w:sz="0" w:space="0" w:color="auto"/>
              </w:divBdr>
              <w:divsChild>
                <w:div w:id="3742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10964">
      <w:bodyDiv w:val="1"/>
      <w:marLeft w:val="0"/>
      <w:marRight w:val="0"/>
      <w:marTop w:val="0"/>
      <w:marBottom w:val="0"/>
      <w:divBdr>
        <w:top w:val="none" w:sz="0" w:space="0" w:color="auto"/>
        <w:left w:val="none" w:sz="0" w:space="0" w:color="auto"/>
        <w:bottom w:val="none" w:sz="0" w:space="0" w:color="auto"/>
        <w:right w:val="none" w:sz="0" w:space="0" w:color="auto"/>
      </w:divBdr>
    </w:div>
    <w:div w:id="1497570899">
      <w:bodyDiv w:val="1"/>
      <w:marLeft w:val="0"/>
      <w:marRight w:val="0"/>
      <w:marTop w:val="0"/>
      <w:marBottom w:val="0"/>
      <w:divBdr>
        <w:top w:val="none" w:sz="0" w:space="0" w:color="auto"/>
        <w:left w:val="none" w:sz="0" w:space="0" w:color="auto"/>
        <w:bottom w:val="none" w:sz="0" w:space="0" w:color="auto"/>
        <w:right w:val="none" w:sz="0" w:space="0" w:color="auto"/>
      </w:divBdr>
      <w:divsChild>
        <w:div w:id="894510732">
          <w:marLeft w:val="0"/>
          <w:marRight w:val="0"/>
          <w:marTop w:val="0"/>
          <w:marBottom w:val="0"/>
          <w:divBdr>
            <w:top w:val="none" w:sz="0" w:space="0" w:color="auto"/>
            <w:left w:val="none" w:sz="0" w:space="0" w:color="auto"/>
            <w:bottom w:val="none" w:sz="0" w:space="0" w:color="auto"/>
            <w:right w:val="none" w:sz="0" w:space="0" w:color="auto"/>
          </w:divBdr>
          <w:divsChild>
            <w:div w:id="652486910">
              <w:marLeft w:val="0"/>
              <w:marRight w:val="0"/>
              <w:marTop w:val="0"/>
              <w:marBottom w:val="0"/>
              <w:divBdr>
                <w:top w:val="none" w:sz="0" w:space="0" w:color="auto"/>
                <w:left w:val="none" w:sz="0" w:space="0" w:color="auto"/>
                <w:bottom w:val="none" w:sz="0" w:space="0" w:color="auto"/>
                <w:right w:val="none" w:sz="0" w:space="0" w:color="auto"/>
              </w:divBdr>
              <w:divsChild>
                <w:div w:id="9567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5895">
      <w:bodyDiv w:val="1"/>
      <w:marLeft w:val="0"/>
      <w:marRight w:val="0"/>
      <w:marTop w:val="0"/>
      <w:marBottom w:val="0"/>
      <w:divBdr>
        <w:top w:val="none" w:sz="0" w:space="0" w:color="auto"/>
        <w:left w:val="none" w:sz="0" w:space="0" w:color="auto"/>
        <w:bottom w:val="none" w:sz="0" w:space="0" w:color="auto"/>
        <w:right w:val="none" w:sz="0" w:space="0" w:color="auto"/>
      </w:divBdr>
      <w:divsChild>
        <w:div w:id="270356167">
          <w:marLeft w:val="0"/>
          <w:marRight w:val="0"/>
          <w:marTop w:val="0"/>
          <w:marBottom w:val="0"/>
          <w:divBdr>
            <w:top w:val="none" w:sz="0" w:space="0" w:color="auto"/>
            <w:left w:val="none" w:sz="0" w:space="0" w:color="auto"/>
            <w:bottom w:val="none" w:sz="0" w:space="0" w:color="auto"/>
            <w:right w:val="none" w:sz="0" w:space="0" w:color="auto"/>
          </w:divBdr>
          <w:divsChild>
            <w:div w:id="234359275">
              <w:marLeft w:val="0"/>
              <w:marRight w:val="0"/>
              <w:marTop w:val="0"/>
              <w:marBottom w:val="0"/>
              <w:divBdr>
                <w:top w:val="none" w:sz="0" w:space="0" w:color="auto"/>
                <w:left w:val="none" w:sz="0" w:space="0" w:color="auto"/>
                <w:bottom w:val="none" w:sz="0" w:space="0" w:color="auto"/>
                <w:right w:val="none" w:sz="0" w:space="0" w:color="auto"/>
              </w:divBdr>
              <w:divsChild>
                <w:div w:id="14958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3260">
      <w:bodyDiv w:val="1"/>
      <w:marLeft w:val="0"/>
      <w:marRight w:val="0"/>
      <w:marTop w:val="0"/>
      <w:marBottom w:val="0"/>
      <w:divBdr>
        <w:top w:val="none" w:sz="0" w:space="0" w:color="auto"/>
        <w:left w:val="none" w:sz="0" w:space="0" w:color="auto"/>
        <w:bottom w:val="none" w:sz="0" w:space="0" w:color="auto"/>
        <w:right w:val="none" w:sz="0" w:space="0" w:color="auto"/>
      </w:divBdr>
      <w:divsChild>
        <w:div w:id="358313610">
          <w:marLeft w:val="0"/>
          <w:marRight w:val="0"/>
          <w:marTop w:val="0"/>
          <w:marBottom w:val="0"/>
          <w:divBdr>
            <w:top w:val="none" w:sz="0" w:space="0" w:color="auto"/>
            <w:left w:val="none" w:sz="0" w:space="0" w:color="auto"/>
            <w:bottom w:val="none" w:sz="0" w:space="0" w:color="auto"/>
            <w:right w:val="none" w:sz="0" w:space="0" w:color="auto"/>
          </w:divBdr>
          <w:divsChild>
            <w:div w:id="1902016698">
              <w:marLeft w:val="0"/>
              <w:marRight w:val="0"/>
              <w:marTop w:val="0"/>
              <w:marBottom w:val="0"/>
              <w:divBdr>
                <w:top w:val="none" w:sz="0" w:space="0" w:color="auto"/>
                <w:left w:val="none" w:sz="0" w:space="0" w:color="auto"/>
                <w:bottom w:val="none" w:sz="0" w:space="0" w:color="auto"/>
                <w:right w:val="none" w:sz="0" w:space="0" w:color="auto"/>
              </w:divBdr>
              <w:divsChild>
                <w:div w:id="17329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9073">
      <w:bodyDiv w:val="1"/>
      <w:marLeft w:val="0"/>
      <w:marRight w:val="0"/>
      <w:marTop w:val="0"/>
      <w:marBottom w:val="0"/>
      <w:divBdr>
        <w:top w:val="none" w:sz="0" w:space="0" w:color="auto"/>
        <w:left w:val="none" w:sz="0" w:space="0" w:color="auto"/>
        <w:bottom w:val="none" w:sz="0" w:space="0" w:color="auto"/>
        <w:right w:val="none" w:sz="0" w:space="0" w:color="auto"/>
      </w:divBdr>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8468">
      <w:bodyDiv w:val="1"/>
      <w:marLeft w:val="0"/>
      <w:marRight w:val="0"/>
      <w:marTop w:val="0"/>
      <w:marBottom w:val="0"/>
      <w:divBdr>
        <w:top w:val="none" w:sz="0" w:space="0" w:color="auto"/>
        <w:left w:val="none" w:sz="0" w:space="0" w:color="auto"/>
        <w:bottom w:val="none" w:sz="0" w:space="0" w:color="auto"/>
        <w:right w:val="none" w:sz="0" w:space="0" w:color="auto"/>
      </w:divBdr>
      <w:divsChild>
        <w:div w:id="2124375657">
          <w:marLeft w:val="0"/>
          <w:marRight w:val="0"/>
          <w:marTop w:val="0"/>
          <w:marBottom w:val="0"/>
          <w:divBdr>
            <w:top w:val="none" w:sz="0" w:space="0" w:color="auto"/>
            <w:left w:val="none" w:sz="0" w:space="0" w:color="auto"/>
            <w:bottom w:val="none" w:sz="0" w:space="0" w:color="auto"/>
            <w:right w:val="none" w:sz="0" w:space="0" w:color="auto"/>
          </w:divBdr>
          <w:divsChild>
            <w:div w:id="1079791635">
              <w:marLeft w:val="0"/>
              <w:marRight w:val="0"/>
              <w:marTop w:val="0"/>
              <w:marBottom w:val="0"/>
              <w:divBdr>
                <w:top w:val="none" w:sz="0" w:space="0" w:color="auto"/>
                <w:left w:val="none" w:sz="0" w:space="0" w:color="auto"/>
                <w:bottom w:val="none" w:sz="0" w:space="0" w:color="auto"/>
                <w:right w:val="none" w:sz="0" w:space="0" w:color="auto"/>
              </w:divBdr>
              <w:divsChild>
                <w:div w:id="927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6624">
      <w:bodyDiv w:val="1"/>
      <w:marLeft w:val="0"/>
      <w:marRight w:val="0"/>
      <w:marTop w:val="0"/>
      <w:marBottom w:val="0"/>
      <w:divBdr>
        <w:top w:val="none" w:sz="0" w:space="0" w:color="auto"/>
        <w:left w:val="none" w:sz="0" w:space="0" w:color="auto"/>
        <w:bottom w:val="none" w:sz="0" w:space="0" w:color="auto"/>
        <w:right w:val="none" w:sz="0" w:space="0" w:color="auto"/>
      </w:divBdr>
      <w:divsChild>
        <w:div w:id="405764317">
          <w:marLeft w:val="0"/>
          <w:marRight w:val="0"/>
          <w:marTop w:val="0"/>
          <w:marBottom w:val="0"/>
          <w:divBdr>
            <w:top w:val="none" w:sz="0" w:space="0" w:color="auto"/>
            <w:left w:val="none" w:sz="0" w:space="0" w:color="auto"/>
            <w:bottom w:val="none" w:sz="0" w:space="0" w:color="auto"/>
            <w:right w:val="none" w:sz="0" w:space="0" w:color="auto"/>
          </w:divBdr>
          <w:divsChild>
            <w:div w:id="1968274294">
              <w:marLeft w:val="0"/>
              <w:marRight w:val="0"/>
              <w:marTop w:val="0"/>
              <w:marBottom w:val="0"/>
              <w:divBdr>
                <w:top w:val="none" w:sz="0" w:space="0" w:color="auto"/>
                <w:left w:val="none" w:sz="0" w:space="0" w:color="auto"/>
                <w:bottom w:val="none" w:sz="0" w:space="0" w:color="auto"/>
                <w:right w:val="none" w:sz="0" w:space="0" w:color="auto"/>
              </w:divBdr>
              <w:divsChild>
                <w:div w:id="18893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2396">
      <w:bodyDiv w:val="1"/>
      <w:marLeft w:val="0"/>
      <w:marRight w:val="0"/>
      <w:marTop w:val="0"/>
      <w:marBottom w:val="0"/>
      <w:divBdr>
        <w:top w:val="none" w:sz="0" w:space="0" w:color="auto"/>
        <w:left w:val="none" w:sz="0" w:space="0" w:color="auto"/>
        <w:bottom w:val="none" w:sz="0" w:space="0" w:color="auto"/>
        <w:right w:val="none" w:sz="0" w:space="0" w:color="auto"/>
      </w:divBdr>
      <w:divsChild>
        <w:div w:id="1933927587">
          <w:marLeft w:val="0"/>
          <w:marRight w:val="0"/>
          <w:marTop w:val="0"/>
          <w:marBottom w:val="0"/>
          <w:divBdr>
            <w:top w:val="none" w:sz="0" w:space="0" w:color="auto"/>
            <w:left w:val="none" w:sz="0" w:space="0" w:color="auto"/>
            <w:bottom w:val="none" w:sz="0" w:space="0" w:color="auto"/>
            <w:right w:val="none" w:sz="0" w:space="0" w:color="auto"/>
          </w:divBdr>
          <w:divsChild>
            <w:div w:id="888110632">
              <w:marLeft w:val="0"/>
              <w:marRight w:val="0"/>
              <w:marTop w:val="0"/>
              <w:marBottom w:val="0"/>
              <w:divBdr>
                <w:top w:val="none" w:sz="0" w:space="0" w:color="auto"/>
                <w:left w:val="none" w:sz="0" w:space="0" w:color="auto"/>
                <w:bottom w:val="none" w:sz="0" w:space="0" w:color="auto"/>
                <w:right w:val="none" w:sz="0" w:space="0" w:color="auto"/>
              </w:divBdr>
              <w:divsChild>
                <w:div w:id="6287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65962">
      <w:bodyDiv w:val="1"/>
      <w:marLeft w:val="0"/>
      <w:marRight w:val="0"/>
      <w:marTop w:val="0"/>
      <w:marBottom w:val="0"/>
      <w:divBdr>
        <w:top w:val="none" w:sz="0" w:space="0" w:color="auto"/>
        <w:left w:val="none" w:sz="0" w:space="0" w:color="auto"/>
        <w:bottom w:val="none" w:sz="0" w:space="0" w:color="auto"/>
        <w:right w:val="none" w:sz="0" w:space="0" w:color="auto"/>
      </w:divBdr>
      <w:divsChild>
        <w:div w:id="1545094578">
          <w:marLeft w:val="0"/>
          <w:marRight w:val="0"/>
          <w:marTop w:val="0"/>
          <w:marBottom w:val="0"/>
          <w:divBdr>
            <w:top w:val="none" w:sz="0" w:space="0" w:color="auto"/>
            <w:left w:val="none" w:sz="0" w:space="0" w:color="auto"/>
            <w:bottom w:val="none" w:sz="0" w:space="0" w:color="auto"/>
            <w:right w:val="none" w:sz="0" w:space="0" w:color="auto"/>
          </w:divBdr>
          <w:divsChild>
            <w:div w:id="979336350">
              <w:marLeft w:val="0"/>
              <w:marRight w:val="0"/>
              <w:marTop w:val="0"/>
              <w:marBottom w:val="0"/>
              <w:divBdr>
                <w:top w:val="none" w:sz="0" w:space="0" w:color="auto"/>
                <w:left w:val="none" w:sz="0" w:space="0" w:color="auto"/>
                <w:bottom w:val="none" w:sz="0" w:space="0" w:color="auto"/>
                <w:right w:val="none" w:sz="0" w:space="0" w:color="auto"/>
              </w:divBdr>
              <w:divsChild>
                <w:div w:id="10326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6516">
      <w:bodyDiv w:val="1"/>
      <w:marLeft w:val="0"/>
      <w:marRight w:val="0"/>
      <w:marTop w:val="0"/>
      <w:marBottom w:val="0"/>
      <w:divBdr>
        <w:top w:val="none" w:sz="0" w:space="0" w:color="auto"/>
        <w:left w:val="none" w:sz="0" w:space="0" w:color="auto"/>
        <w:bottom w:val="none" w:sz="0" w:space="0" w:color="auto"/>
        <w:right w:val="none" w:sz="0" w:space="0" w:color="auto"/>
      </w:divBdr>
    </w:div>
    <w:div w:id="1784879014">
      <w:bodyDiv w:val="1"/>
      <w:marLeft w:val="0"/>
      <w:marRight w:val="0"/>
      <w:marTop w:val="0"/>
      <w:marBottom w:val="0"/>
      <w:divBdr>
        <w:top w:val="none" w:sz="0" w:space="0" w:color="auto"/>
        <w:left w:val="none" w:sz="0" w:space="0" w:color="auto"/>
        <w:bottom w:val="none" w:sz="0" w:space="0" w:color="auto"/>
        <w:right w:val="none" w:sz="0" w:space="0" w:color="auto"/>
      </w:divBdr>
      <w:divsChild>
        <w:div w:id="1904413940">
          <w:marLeft w:val="0"/>
          <w:marRight w:val="0"/>
          <w:marTop w:val="0"/>
          <w:marBottom w:val="0"/>
          <w:divBdr>
            <w:top w:val="none" w:sz="0" w:space="0" w:color="auto"/>
            <w:left w:val="none" w:sz="0" w:space="0" w:color="auto"/>
            <w:bottom w:val="none" w:sz="0" w:space="0" w:color="auto"/>
            <w:right w:val="none" w:sz="0" w:space="0" w:color="auto"/>
          </w:divBdr>
          <w:divsChild>
            <w:div w:id="2065442808">
              <w:marLeft w:val="0"/>
              <w:marRight w:val="0"/>
              <w:marTop w:val="0"/>
              <w:marBottom w:val="0"/>
              <w:divBdr>
                <w:top w:val="none" w:sz="0" w:space="0" w:color="auto"/>
                <w:left w:val="none" w:sz="0" w:space="0" w:color="auto"/>
                <w:bottom w:val="none" w:sz="0" w:space="0" w:color="auto"/>
                <w:right w:val="none" w:sz="0" w:space="0" w:color="auto"/>
              </w:divBdr>
              <w:divsChild>
                <w:div w:id="12767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3613">
      <w:bodyDiv w:val="1"/>
      <w:marLeft w:val="0"/>
      <w:marRight w:val="0"/>
      <w:marTop w:val="0"/>
      <w:marBottom w:val="0"/>
      <w:divBdr>
        <w:top w:val="none" w:sz="0" w:space="0" w:color="auto"/>
        <w:left w:val="none" w:sz="0" w:space="0" w:color="auto"/>
        <w:bottom w:val="none" w:sz="0" w:space="0" w:color="auto"/>
        <w:right w:val="none" w:sz="0" w:space="0" w:color="auto"/>
      </w:divBdr>
      <w:divsChild>
        <w:div w:id="127940828">
          <w:marLeft w:val="0"/>
          <w:marRight w:val="0"/>
          <w:marTop w:val="0"/>
          <w:marBottom w:val="0"/>
          <w:divBdr>
            <w:top w:val="none" w:sz="0" w:space="0" w:color="auto"/>
            <w:left w:val="none" w:sz="0" w:space="0" w:color="auto"/>
            <w:bottom w:val="none" w:sz="0" w:space="0" w:color="auto"/>
            <w:right w:val="none" w:sz="0" w:space="0" w:color="auto"/>
          </w:divBdr>
          <w:divsChild>
            <w:div w:id="1368023938">
              <w:marLeft w:val="0"/>
              <w:marRight w:val="0"/>
              <w:marTop w:val="0"/>
              <w:marBottom w:val="0"/>
              <w:divBdr>
                <w:top w:val="none" w:sz="0" w:space="0" w:color="auto"/>
                <w:left w:val="none" w:sz="0" w:space="0" w:color="auto"/>
                <w:bottom w:val="none" w:sz="0" w:space="0" w:color="auto"/>
                <w:right w:val="none" w:sz="0" w:space="0" w:color="auto"/>
              </w:divBdr>
              <w:divsChild>
                <w:div w:id="12314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9469">
      <w:bodyDiv w:val="1"/>
      <w:marLeft w:val="0"/>
      <w:marRight w:val="0"/>
      <w:marTop w:val="0"/>
      <w:marBottom w:val="0"/>
      <w:divBdr>
        <w:top w:val="none" w:sz="0" w:space="0" w:color="auto"/>
        <w:left w:val="none" w:sz="0" w:space="0" w:color="auto"/>
        <w:bottom w:val="none" w:sz="0" w:space="0" w:color="auto"/>
        <w:right w:val="none" w:sz="0" w:space="0" w:color="auto"/>
      </w:divBdr>
      <w:divsChild>
        <w:div w:id="1951551840">
          <w:marLeft w:val="0"/>
          <w:marRight w:val="0"/>
          <w:marTop w:val="0"/>
          <w:marBottom w:val="0"/>
          <w:divBdr>
            <w:top w:val="none" w:sz="0" w:space="0" w:color="auto"/>
            <w:left w:val="none" w:sz="0" w:space="0" w:color="auto"/>
            <w:bottom w:val="none" w:sz="0" w:space="0" w:color="auto"/>
            <w:right w:val="none" w:sz="0" w:space="0" w:color="auto"/>
          </w:divBdr>
          <w:divsChild>
            <w:div w:id="311760423">
              <w:marLeft w:val="0"/>
              <w:marRight w:val="0"/>
              <w:marTop w:val="0"/>
              <w:marBottom w:val="0"/>
              <w:divBdr>
                <w:top w:val="none" w:sz="0" w:space="0" w:color="auto"/>
                <w:left w:val="none" w:sz="0" w:space="0" w:color="auto"/>
                <w:bottom w:val="none" w:sz="0" w:space="0" w:color="auto"/>
                <w:right w:val="none" w:sz="0" w:space="0" w:color="auto"/>
              </w:divBdr>
              <w:divsChild>
                <w:div w:id="1047412641">
                  <w:marLeft w:val="0"/>
                  <w:marRight w:val="0"/>
                  <w:marTop w:val="0"/>
                  <w:marBottom w:val="0"/>
                  <w:divBdr>
                    <w:top w:val="none" w:sz="0" w:space="0" w:color="auto"/>
                    <w:left w:val="none" w:sz="0" w:space="0" w:color="auto"/>
                    <w:bottom w:val="none" w:sz="0" w:space="0" w:color="auto"/>
                    <w:right w:val="none" w:sz="0" w:space="0" w:color="auto"/>
                  </w:divBdr>
                  <w:divsChild>
                    <w:div w:id="14197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8312">
      <w:bodyDiv w:val="1"/>
      <w:marLeft w:val="0"/>
      <w:marRight w:val="0"/>
      <w:marTop w:val="0"/>
      <w:marBottom w:val="0"/>
      <w:divBdr>
        <w:top w:val="none" w:sz="0" w:space="0" w:color="auto"/>
        <w:left w:val="none" w:sz="0" w:space="0" w:color="auto"/>
        <w:bottom w:val="none" w:sz="0" w:space="0" w:color="auto"/>
        <w:right w:val="none" w:sz="0" w:space="0" w:color="auto"/>
      </w:divBdr>
      <w:divsChild>
        <w:div w:id="25061446">
          <w:marLeft w:val="0"/>
          <w:marRight w:val="0"/>
          <w:marTop w:val="0"/>
          <w:marBottom w:val="0"/>
          <w:divBdr>
            <w:top w:val="none" w:sz="0" w:space="0" w:color="auto"/>
            <w:left w:val="none" w:sz="0" w:space="0" w:color="auto"/>
            <w:bottom w:val="none" w:sz="0" w:space="0" w:color="auto"/>
            <w:right w:val="none" w:sz="0" w:space="0" w:color="auto"/>
          </w:divBdr>
          <w:divsChild>
            <w:div w:id="614870293">
              <w:marLeft w:val="0"/>
              <w:marRight w:val="0"/>
              <w:marTop w:val="0"/>
              <w:marBottom w:val="0"/>
              <w:divBdr>
                <w:top w:val="none" w:sz="0" w:space="0" w:color="auto"/>
                <w:left w:val="none" w:sz="0" w:space="0" w:color="auto"/>
                <w:bottom w:val="none" w:sz="0" w:space="0" w:color="auto"/>
                <w:right w:val="none" w:sz="0" w:space="0" w:color="auto"/>
              </w:divBdr>
              <w:divsChild>
                <w:div w:id="6433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70120">
      <w:bodyDiv w:val="1"/>
      <w:marLeft w:val="0"/>
      <w:marRight w:val="0"/>
      <w:marTop w:val="0"/>
      <w:marBottom w:val="0"/>
      <w:divBdr>
        <w:top w:val="none" w:sz="0" w:space="0" w:color="auto"/>
        <w:left w:val="none" w:sz="0" w:space="0" w:color="auto"/>
        <w:bottom w:val="none" w:sz="0" w:space="0" w:color="auto"/>
        <w:right w:val="none" w:sz="0" w:space="0" w:color="auto"/>
      </w:divBdr>
      <w:divsChild>
        <w:div w:id="1714426387">
          <w:marLeft w:val="0"/>
          <w:marRight w:val="0"/>
          <w:marTop w:val="0"/>
          <w:marBottom w:val="0"/>
          <w:divBdr>
            <w:top w:val="none" w:sz="0" w:space="0" w:color="auto"/>
            <w:left w:val="none" w:sz="0" w:space="0" w:color="auto"/>
            <w:bottom w:val="none" w:sz="0" w:space="0" w:color="auto"/>
            <w:right w:val="none" w:sz="0" w:space="0" w:color="auto"/>
          </w:divBdr>
          <w:divsChild>
            <w:div w:id="951204494">
              <w:marLeft w:val="0"/>
              <w:marRight w:val="0"/>
              <w:marTop w:val="0"/>
              <w:marBottom w:val="0"/>
              <w:divBdr>
                <w:top w:val="none" w:sz="0" w:space="0" w:color="auto"/>
                <w:left w:val="none" w:sz="0" w:space="0" w:color="auto"/>
                <w:bottom w:val="none" w:sz="0" w:space="0" w:color="auto"/>
                <w:right w:val="none" w:sz="0" w:space="0" w:color="auto"/>
              </w:divBdr>
              <w:divsChild>
                <w:div w:id="431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2446">
      <w:bodyDiv w:val="1"/>
      <w:marLeft w:val="0"/>
      <w:marRight w:val="0"/>
      <w:marTop w:val="0"/>
      <w:marBottom w:val="0"/>
      <w:divBdr>
        <w:top w:val="none" w:sz="0" w:space="0" w:color="auto"/>
        <w:left w:val="none" w:sz="0" w:space="0" w:color="auto"/>
        <w:bottom w:val="none" w:sz="0" w:space="0" w:color="auto"/>
        <w:right w:val="none" w:sz="0" w:space="0" w:color="auto"/>
      </w:divBdr>
    </w:div>
    <w:div w:id="2061008618">
      <w:bodyDiv w:val="1"/>
      <w:marLeft w:val="0"/>
      <w:marRight w:val="0"/>
      <w:marTop w:val="0"/>
      <w:marBottom w:val="0"/>
      <w:divBdr>
        <w:top w:val="none" w:sz="0" w:space="0" w:color="auto"/>
        <w:left w:val="none" w:sz="0" w:space="0" w:color="auto"/>
        <w:bottom w:val="none" w:sz="0" w:space="0" w:color="auto"/>
        <w:right w:val="none" w:sz="0" w:space="0" w:color="auto"/>
      </w:divBdr>
    </w:div>
    <w:div w:id="2104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squisa.apps.tcu.gov.br/redireciona/acordao-completo/ACORDAO-COMPLETO-2736822" TargetMode="External"/><Relationship Id="rId18" Type="http://schemas.openxmlformats.org/officeDocument/2006/relationships/hyperlink" Target="https://viajuris.tce.pr.gov.br/Pesquisa/Visualizar/3105-2025-tribunal-pleno-fernando-augusto-mello-guimaraes-representacao-da-lei-de-licitacoes-7/199974" TargetMode="External"/><Relationship Id="rId26" Type="http://schemas.openxmlformats.org/officeDocument/2006/relationships/hyperlink" Target="http://www1.tce.pr.gov.br/conteudo/sumulas-selecionadas/316602/area/249"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www1.tce.pr.gov.br/conteudo/repercussao-geral-no-stf-e-os-tribunais-de-contas/307026/area/249"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viajuris.tce.pr.gov.br/Pesquisa/Visualizar/3421-2025-tribunal-pleno-ivens-zschoerper-linhares-homologacao-de-recomendacoes-5/200367" TargetMode="External"/><Relationship Id="rId29"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boletim-de-jurisprudencia-internacional/316601/area/249"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viajuris.tce.pr.gov.br/Pesquisa/Visualizar/3121-2025-tribunal-pleno-ivan-lelis-bonilha-representacao-da-lei-de-licitacoes-7/199984" TargetMode="External"/><Relationship Id="rId23" Type="http://schemas.openxmlformats.org/officeDocument/2006/relationships/hyperlink" Target="http://www1.tce.pr.gov.br/conteudo/boletim-informativo-de-jurisprudencia/280400/area/249" TargetMode="External"/><Relationship Id="rId28" Type="http://schemas.openxmlformats.org/officeDocument/2006/relationships/hyperlink" Target="http://www1.tce.pr.gov.br/conteudo/boletim-informativo-de-jurisprudencia/280400/area/249"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yperlink" Target="http://www1.tce.pr.gov.br/conteudo/sumulas-selecionadas/316602/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www1.tce.pr.gov.br/conteudo/pesquisas-prontas/308475/area/249" TargetMode="External"/><Relationship Id="rId27" Type="http://schemas.openxmlformats.org/officeDocument/2006/relationships/hyperlink" Target="http://www1.tce.pr.gov.br/conteudo/pesquisas-prontas/308475/area/249" TargetMode="External"/><Relationship Id="rId30" Type="http://schemas.openxmlformats.org/officeDocument/2006/relationships/hyperlink" Target="http://www1.tce.pr.gov.br/conteudo/repercussao-geral-no-stf-e-os-tribunais-de-contas/307026/area/249"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62ec606-c254-4dd7-8666-aa6c12b21731" xsi:nil="true"/>
  </documentManagement>
</p:properties>
</file>

<file path=customXml/item4.xml>
</file>

<file path=customXml/item5.xml><?xml version="1.0" encoding="utf-8"?>
<ct:contentTypeSchema xmlns:ct="http://schemas.microsoft.com/office/2006/metadata/contentType" xmlns:ma="http://schemas.microsoft.com/office/2006/metadata/properties/metaAttributes" ct:_="" ma:_="" ma:contentTypeName="Documento" ma:contentTypeID="0x01010053C3D453B89BB34EA0245CEF24B22626" ma:contentTypeVersion="12" ma:contentTypeDescription="Crie um novo documento." ma:contentTypeScope="" ma:versionID="53fc663f462a8b33a68b45d843c357c8">
  <xsd:schema xmlns:xsd="http://www.w3.org/2001/XMLSchema" xmlns:xs="http://www.w3.org/2001/XMLSchema" xmlns:p="http://schemas.microsoft.com/office/2006/metadata/properties" xmlns:ns3="3db64fec-8ace-4545-b67f-b7c88dee3c09" xmlns:ns4="f62ec606-c254-4dd7-8666-aa6c12b21731" targetNamespace="http://schemas.microsoft.com/office/2006/metadata/properties" ma:root="true" ma:fieldsID="7d0d5796d0394b21ec05b1ac7f859df7" ns3:_="" ns4:_="">
    <xsd:import namespace="3db64fec-8ace-4545-b67f-b7c88dee3c09"/>
    <xsd:import namespace="f62ec606-c254-4dd7-8666-aa6c12b217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fec-8ace-4545-b67f-b7c88dee3c09"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ec606-c254-4dd7-8666-aa6c12b21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50CFC-5930-4374-B00C-E7CFBCF858CF}">
  <ds:schemaRefs>
    <ds:schemaRef ds:uri="http://schemas.microsoft.com/sharepoint/v3/contenttype/forms"/>
  </ds:schemaRefs>
</ds:datastoreItem>
</file>

<file path=customXml/itemProps2.xml><?xml version="1.0" encoding="utf-8"?>
<ds:datastoreItem xmlns:ds="http://schemas.openxmlformats.org/officeDocument/2006/customXml" ds:itemID="{BB224B9F-0E89-674C-99DC-A99D9A7896FC}">
  <ds:schemaRefs>
    <ds:schemaRef ds:uri="http://schemas.openxmlformats.org/officeDocument/2006/bibliography"/>
  </ds:schemaRefs>
</ds:datastoreItem>
</file>

<file path=customXml/itemProps3.xml><?xml version="1.0" encoding="utf-8"?>
<ds:datastoreItem xmlns:ds="http://schemas.openxmlformats.org/officeDocument/2006/customXml" ds:itemID="{F4EA0CB4-8DE3-4A76-84C4-B02782AF33BC}">
  <ds:schemaRefs>
    <ds:schemaRef ds:uri="http://schemas.microsoft.com/office/2006/metadata/properties"/>
    <ds:schemaRef ds:uri="http://schemas.microsoft.com/office/infopath/2007/PartnerControls"/>
    <ds:schemaRef ds:uri="f62ec606-c254-4dd7-8666-aa6c12b21731"/>
  </ds:schemaRefs>
</ds:datastoreItem>
</file>

<file path=customXml/itemProps4.xml><?xml version="1.0" encoding="utf-8"?>
<ds:datastoreItem xmlns:ds="http://schemas.openxmlformats.org/officeDocument/2006/customXml" ds:itemID="{3C74D022-C9B6-4C98-8292-5C7868A5971E}"/>
</file>

<file path=customXml/itemProps5.xml><?xml version="1.0" encoding="utf-8"?>
<ds:datastoreItem xmlns:ds="http://schemas.openxmlformats.org/officeDocument/2006/customXml" ds:itemID="{590E71E5-FE82-4C3C-BDD1-F035CA5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fec-8ace-4545-b67f-b7c88dee3c09"/>
    <ds:schemaRef ds:uri="f62ec606-c254-4dd7-8666-aa6c12b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2386</Words>
  <Characters>14225</Characters>
  <Application>Microsoft Office Word</Application>
  <DocSecurity>0</DocSecurity>
  <Lines>263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Vitória Ferreira</dc:creator>
  <cp:keywords/>
  <dc:description/>
  <cp:lastModifiedBy>Fernando Barros</cp:lastModifiedBy>
  <cp:revision>4</cp:revision>
  <cp:lastPrinted>2026-03-10T23:50:00Z</cp:lastPrinted>
  <dcterms:created xsi:type="dcterms:W3CDTF">2026-03-10T23:50:00Z</dcterms:created>
  <dcterms:modified xsi:type="dcterms:W3CDTF">2026-03-10T23:57:00Z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y fmtid="{D5CDD505-2E9C-101B-9397-08002B2CF9AE}" pid="3" name="ContentTypeId">
    <vt:lpwstr>0x01010053C3D453B89BB34EA0245CEF24B22626</vt:lpwstr>
  </property>
</Properties>
</file>